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28" w:rsidRDefault="00844028">
      <w:pPr>
        <w:pStyle w:val="ConsPlusNormal"/>
        <w:jc w:val="right"/>
        <w:outlineLvl w:val="0"/>
      </w:pPr>
      <w:r>
        <w:t>УТВЕРЖДЕН</w:t>
      </w:r>
    </w:p>
    <w:p w:rsidR="00844028" w:rsidRDefault="00844028">
      <w:pPr>
        <w:pStyle w:val="ConsPlusNormal"/>
        <w:jc w:val="right"/>
      </w:pPr>
      <w:r>
        <w:t>постановлением Правительства</w:t>
      </w:r>
    </w:p>
    <w:p w:rsidR="00844028" w:rsidRDefault="00844028">
      <w:pPr>
        <w:pStyle w:val="ConsPlusNormal"/>
        <w:jc w:val="right"/>
      </w:pPr>
      <w:r>
        <w:t>Ленинградской области</w:t>
      </w:r>
    </w:p>
    <w:p w:rsidR="00844028" w:rsidRDefault="00844028">
      <w:pPr>
        <w:pStyle w:val="ConsPlusNormal"/>
        <w:jc w:val="right"/>
      </w:pPr>
      <w:r>
        <w:t>от 04.02.2014 N 15</w:t>
      </w:r>
    </w:p>
    <w:p w:rsidR="00844028" w:rsidRDefault="00844028">
      <w:pPr>
        <w:pStyle w:val="ConsPlusNormal"/>
        <w:jc w:val="right"/>
      </w:pPr>
      <w:r>
        <w:t>(приложение 6)</w:t>
      </w:r>
    </w:p>
    <w:p w:rsidR="00844028" w:rsidRDefault="00844028">
      <w:pPr>
        <w:pStyle w:val="ConsPlusNormal"/>
        <w:ind w:firstLine="540"/>
        <w:jc w:val="both"/>
      </w:pPr>
    </w:p>
    <w:p w:rsidR="00844028" w:rsidRDefault="00844028">
      <w:pPr>
        <w:pStyle w:val="ConsPlusTitle"/>
        <w:jc w:val="center"/>
      </w:pPr>
      <w:r>
        <w:t>ПОРЯДОК</w:t>
      </w:r>
    </w:p>
    <w:p w:rsidR="00844028" w:rsidRDefault="00844028">
      <w:pPr>
        <w:pStyle w:val="ConsPlusTitle"/>
        <w:jc w:val="center"/>
      </w:pPr>
      <w:r>
        <w:t>ПРЕДОСТАВЛЕНИЯ СУБСИДИЙ БЮДЖЕТАМ МУНИЦИПАЛЬНЫХ ОБРАЗОВАНИЙ</w:t>
      </w:r>
    </w:p>
    <w:p w:rsidR="00844028" w:rsidRDefault="00844028">
      <w:pPr>
        <w:pStyle w:val="ConsPlusTitle"/>
        <w:jc w:val="center"/>
      </w:pPr>
      <w:r>
        <w:t xml:space="preserve">ЛЕНИНГРАДСКОЙ ОБЛАСТИ НА МЕРОПРИЯТИЯ </w:t>
      </w:r>
      <w:proofErr w:type="gramStart"/>
      <w:r>
        <w:t>ПО</w:t>
      </w:r>
      <w:proofErr w:type="gramEnd"/>
      <w:r>
        <w:t xml:space="preserve"> КОМПЛЕКСНОЙ</w:t>
      </w:r>
    </w:p>
    <w:p w:rsidR="00844028" w:rsidRDefault="00844028">
      <w:pPr>
        <w:pStyle w:val="ConsPlusTitle"/>
        <w:jc w:val="center"/>
      </w:pPr>
      <w:r>
        <w:t>КОМПАКТНОЙ ЗАСТРОЙКЕ И БЛАГОУСТРОЙСТВУ СЕЛЬСКИХ ТЕРРИТОРИЙ</w:t>
      </w:r>
    </w:p>
    <w:p w:rsidR="00844028" w:rsidRDefault="00844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4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028" w:rsidRDefault="00844028">
            <w:pPr>
              <w:pStyle w:val="ConsPlusNormal"/>
              <w:jc w:val="center"/>
            </w:pPr>
            <w:bookmarkStart w:id="0" w:name="_GoBack"/>
            <w:bookmarkEnd w:id="0"/>
          </w:p>
        </w:tc>
      </w:tr>
    </w:tbl>
    <w:p w:rsidR="00844028" w:rsidRDefault="00844028">
      <w:pPr>
        <w:pStyle w:val="ConsPlusNormal"/>
        <w:jc w:val="center"/>
      </w:pPr>
    </w:p>
    <w:p w:rsidR="00844028" w:rsidRDefault="00844028">
      <w:pPr>
        <w:pStyle w:val="ConsPlusTitle"/>
        <w:jc w:val="center"/>
        <w:outlineLvl w:val="1"/>
      </w:pPr>
      <w:r>
        <w:t>1. Общие положения</w:t>
      </w:r>
    </w:p>
    <w:p w:rsidR="00844028" w:rsidRDefault="00844028">
      <w:pPr>
        <w:pStyle w:val="ConsPlusNormal"/>
        <w:ind w:firstLine="540"/>
        <w:jc w:val="both"/>
      </w:pPr>
    </w:p>
    <w:p w:rsidR="00844028" w:rsidRDefault="00844028">
      <w:pPr>
        <w:pStyle w:val="ConsPlusNormal"/>
        <w:ind w:firstLine="540"/>
        <w:jc w:val="both"/>
      </w:pPr>
      <w:r>
        <w:t>1.1. Настоящий Порядок определяет цели, условия, порядок предоставления субсидий из областного бюджета Ленинградской области бюджетам муниципальных образований Ленинградской области на мероприятия по комплексной компактной застройке и благоустройству сельских территорий (далее соответственно - областной бюджет, муниципальные образования, субсидии).</w:t>
      </w:r>
    </w:p>
    <w:p w:rsidR="00844028" w:rsidRDefault="00844028">
      <w:pPr>
        <w:pStyle w:val="ConsPlusNormal"/>
        <w:spacing w:before="220"/>
        <w:ind w:firstLine="540"/>
        <w:jc w:val="both"/>
      </w:pPr>
      <w:proofErr w:type="gramStart"/>
      <w:r>
        <w:t xml:space="preserve">Субсидии предоставляются бюджетам муниципальных образований в рамках </w:t>
      </w:r>
      <w:hyperlink r:id="rId5" w:history="1">
        <w:r>
          <w:rPr>
            <w:color w:val="0000FF"/>
          </w:rPr>
          <w:t>мероприятия</w:t>
        </w:r>
      </w:hyperlink>
      <w:r>
        <w:t xml:space="preserve"> "Реализация проектов комплексного обустройства площадок под компактную жилищную застройку в сельской местности" основного мероприятия "Комплексное обустройство населенных пунктов, расположенных в сельской местности, объектами социальной и инженерной инфраструктуры" подпрограммы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области", утвержденной постановлением Правительства Ленинградской области от 29 декабря 2012</w:t>
      </w:r>
      <w:proofErr w:type="gramEnd"/>
      <w:r>
        <w:t xml:space="preserve"> года N 463.</w:t>
      </w:r>
    </w:p>
    <w:p w:rsidR="00844028" w:rsidRDefault="00844028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20.08.2018 N 299)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 xml:space="preserve">1.2. Субсидии предоставляются на </w:t>
      </w:r>
      <w:proofErr w:type="spellStart"/>
      <w:r>
        <w:t>софинансирование</w:t>
      </w:r>
      <w:proofErr w:type="spellEnd"/>
      <w: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следующим вопросам местного значения: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создание условий для организации досуга и обеспечения жителей поселения услугами организаций культуры;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организация в границах поселения электр</w:t>
      </w:r>
      <w:proofErr w:type="gramStart"/>
      <w:r>
        <w:t>о-</w:t>
      </w:r>
      <w:proofErr w:type="gramEnd"/>
      <w:r>
        <w:t>, газо- и водоснабжения населения, водоотведения.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1.3.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строительству Ленинградской области (далее - главный распорядитель бюджетных средств).</w:t>
      </w:r>
    </w:p>
    <w:p w:rsidR="00844028" w:rsidRDefault="008440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21.01.2019 N 7)</w:t>
      </w:r>
    </w:p>
    <w:p w:rsidR="00844028" w:rsidRDefault="00844028">
      <w:pPr>
        <w:pStyle w:val="ConsPlusNormal"/>
        <w:jc w:val="center"/>
      </w:pPr>
    </w:p>
    <w:p w:rsidR="00844028" w:rsidRDefault="00844028">
      <w:pPr>
        <w:pStyle w:val="ConsPlusTitle"/>
        <w:jc w:val="center"/>
        <w:outlineLvl w:val="1"/>
      </w:pPr>
      <w:r>
        <w:t>2. Цели и условия предоставления субсидий, критерии отбора</w:t>
      </w:r>
    </w:p>
    <w:p w:rsidR="00844028" w:rsidRDefault="00844028">
      <w:pPr>
        <w:pStyle w:val="ConsPlusTitle"/>
        <w:jc w:val="center"/>
      </w:pPr>
      <w:r>
        <w:t>муниципальных образований для предоставления субсидий</w:t>
      </w:r>
    </w:p>
    <w:p w:rsidR="00844028" w:rsidRDefault="00844028">
      <w:pPr>
        <w:pStyle w:val="ConsPlusNormal"/>
      </w:pPr>
    </w:p>
    <w:p w:rsidR="00844028" w:rsidRDefault="00844028">
      <w:pPr>
        <w:pStyle w:val="ConsPlusNormal"/>
        <w:ind w:firstLine="540"/>
        <w:jc w:val="both"/>
      </w:pPr>
      <w:r>
        <w:t>2.1. Субсидии предоставляются в целях обеспечения благоустройства сельских поселений в рамках пилотных проектов, повышения уровня архитектурно-</w:t>
      </w:r>
      <w:proofErr w:type="gramStart"/>
      <w:r>
        <w:t>планировочных решений</w:t>
      </w:r>
      <w:proofErr w:type="gramEnd"/>
      <w:r>
        <w:t xml:space="preserve"> массовой жилищной застройки и объектов социальной инфраструктуры, распространения передового опыта комплексной компактной застройки сельских поселений.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Субсидии предоставляются на проектирование, строительство и реконструкцию объектов социально-инженерной инфраструктуры в рамках реализации проектов комплексной компактной застройки и благоустройства сельских территорий.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2.2. Целевыми показателями результативности предоставления субсидии (далее - целевые показатели результативности) являются "Процент строительной готовности" (для объектов строительства) и "Наличие разработанной проектно-сметной документации" (для объектов проектирования).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Плановые значения целевых показателей результативности определяются на основании заявки муниципального образования и устанавливаются соглашением о предоставлении субсидии, заключенным между главным распорядителем бюджетных средств и муниципальным образованием (далее - соглашение).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8" w:history="1">
        <w:r>
          <w:rPr>
            <w:color w:val="0000FF"/>
          </w:rPr>
          <w:t>пунктом 3.1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 xml:space="preserve">2.3.1. Соглашение заключается по типовой форме, установленной главным распорядителем бюджетных средств, в соответствии с требованиями </w:t>
      </w:r>
      <w:hyperlink r:id="rId9" w:history="1">
        <w:r>
          <w:rPr>
            <w:color w:val="0000FF"/>
          </w:rPr>
          <w:t>пункта 3.2</w:t>
        </w:r>
      </w:hyperlink>
      <w:r>
        <w:t xml:space="preserve"> Правил в срок не позднее 1 апреля года предоставления субсидии, а в случае внесения изменений в распределение субсидий - в срок, не превышающий один месяц со дня утверждения распределения субсидий.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Муниципальное образование при заключении соглашения представляет главному распорядителю бюджетных средств:</w:t>
      </w:r>
    </w:p>
    <w:p w:rsidR="00844028" w:rsidRDefault="0084402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21.01.2019 N 7)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выписку из сводной бюджетной росписи бюджета муниципального образования;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 xml:space="preserve">копию утвержденной муниципальной программы, предусматривающей мероприятия, соответствующие целям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области", утвержденной постановлением Правительства Ленинградской области от 29 декабря 2012 года N 463;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подтверждение отсутствия просроченной задолженности по выплате заработной платы работникам муниципальных учреждений Ленинградской области.</w:t>
      </w:r>
    </w:p>
    <w:p w:rsidR="00844028" w:rsidRDefault="00844028">
      <w:pPr>
        <w:pStyle w:val="ConsPlusNormal"/>
        <w:jc w:val="both"/>
      </w:pPr>
      <w:r>
        <w:t xml:space="preserve">(п. 2.3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20.08.2018 N 299)</w:t>
      </w:r>
    </w:p>
    <w:p w:rsidR="00844028" w:rsidRDefault="00844028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2.4. Критерием отбора муниципальных образований для предоставления субсидий является реализация (предполагаемая реализация) на территории муниципального образования проекта - победителя конкурсного отбора в соответствии с </w:t>
      </w:r>
      <w:hyperlink w:anchor="P44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844028" w:rsidRDefault="00844028">
      <w:pPr>
        <w:pStyle w:val="ConsPlusNormal"/>
        <w:ind w:firstLine="540"/>
        <w:jc w:val="both"/>
      </w:pPr>
    </w:p>
    <w:p w:rsidR="00844028" w:rsidRDefault="00844028">
      <w:pPr>
        <w:pStyle w:val="ConsPlusTitle"/>
        <w:jc w:val="center"/>
        <w:outlineLvl w:val="1"/>
      </w:pPr>
      <w:bookmarkStart w:id="2" w:name="P44"/>
      <w:bookmarkEnd w:id="2"/>
      <w:r>
        <w:t>3. Порядок проведения конкурсного отбора</w:t>
      </w:r>
    </w:p>
    <w:p w:rsidR="00844028" w:rsidRDefault="00844028">
      <w:pPr>
        <w:pStyle w:val="ConsPlusNormal"/>
        <w:ind w:firstLine="540"/>
        <w:jc w:val="both"/>
      </w:pPr>
    </w:p>
    <w:p w:rsidR="00844028" w:rsidRDefault="00844028">
      <w:pPr>
        <w:pStyle w:val="ConsPlusNormal"/>
        <w:ind w:firstLine="540"/>
        <w:jc w:val="both"/>
      </w:pPr>
      <w:r>
        <w:t xml:space="preserve">3.1.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(далее - комитет) в текущем финансовом году.</w:t>
      </w:r>
    </w:p>
    <w:p w:rsidR="00844028" w:rsidRDefault="0084402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21.01.2019 N 7)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В состав экспертного совета входят лица, замещающие должности государственной гражданской службы в комитете.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Персональный состав экспертного совета и положение об экспертном совете утверждаются правовым актом комитета.</w:t>
      </w:r>
    </w:p>
    <w:p w:rsidR="00844028" w:rsidRDefault="00844028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3.2. Экспертный совет на конкурсной основе осуществляет отбор муниципальных образований на основе критериев, указанных в </w:t>
      </w:r>
      <w:hyperlink w:anchor="P42" w:history="1">
        <w:r>
          <w:rPr>
            <w:color w:val="0000FF"/>
          </w:rPr>
          <w:t>пункте 2.4</w:t>
        </w:r>
      </w:hyperlink>
      <w:r>
        <w:t xml:space="preserve"> настоящего Порядка, по результатам оценки представленных муниципальными образованиями заявок на участие в конкурсном отборе объектов (далее - заявки).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К конкурсному отбору для предоставления субсидий на строительство (реконструкцию) объектов допускаются муниципальные образования, по объектам которых имеется положительное заключение государственной экспертизы о проверке достоверности определения сметной стоимости.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Форма заявки, перечень прилагаемых документов и требования к ним, а также форма извещения о проведении конкурсного отбора утверждаются нормативным правовым актом комитета.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информационно-телекоммуникационной сети "Интернет" (далее - сеть "Интернет") извещения о начале приема заявок муниципальных образований для участия в конкурсном отборе.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3.3.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"Интернет" (www.agroprom.lenobl.ru) извещения о проведении конкурсного отбора муниципальных образований для предоставления субсидий. Указанный срок приема заявок фиксируется в извещении.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Заявки муниципальных образований регистрируются в установленном порядке в канцелярии комитета.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3.4. Рассмотрение комитетом заявок и проведение заседания экспертного совета осуществляются не позднее 20 рабочих дней со дня, следующего за указанным в извещении днем окончания приема заявок.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 xml:space="preserve">Основанием для отклонения заявки комитетом является представление муниципальным образованием документов, не соответствующих требованиям, установленным нормативным правовым актом комитета в соответствии с </w:t>
      </w:r>
      <w:hyperlink w:anchor="P50" w:history="1">
        <w:r>
          <w:rPr>
            <w:color w:val="0000FF"/>
          </w:rPr>
          <w:t>пунктом 3.2</w:t>
        </w:r>
      </w:hyperlink>
      <w:r>
        <w:t xml:space="preserve"> настоящего Порядка, </w:t>
      </w:r>
      <w:proofErr w:type="gramStart"/>
      <w:r>
        <w:t>и(</w:t>
      </w:r>
      <w:proofErr w:type="gramEnd"/>
      <w:r>
        <w:t>или) представление документов не в полном объеме.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3.5. Оценка заявок экспертным советом осуществляется в соответствии со следующими критериями: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а) наличие реализуемых инвестиционных проектов в сфере комплексного развития территории муниципального образования;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б) наибольший уровень обеспеченности населения объектами социально-культурной сферы и оснащенности жилищного фонда инженерной инфраструктурой;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 xml:space="preserve">в) наибольшая численность населения муниципального образования, в котором </w:t>
      </w:r>
      <w:r>
        <w:lastRenderedPageBreak/>
        <w:t>планируется строительство объекта социально-инженерной инфраструктуры;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г) создание наибольшего количества новых рабочих мест и привлечение в организации АПК и социальной сферы высококвалифицированных специалистов.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3.6. Методика оценки заявок (балльная методика) утверждается нормативным правовым актом комитета.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3.7. Экспертный совет принимает решение о результатах оценки заявки по сумме набранных баллов и формирует перечень объектов, выполнение работ на которых планируется путем предоставления субсидий из областного бюджета (далее - перечень).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Перечень формируется в порядке убывания набранных баллов. При этом объекты, набравшие одинаковое количество баллов, ранжируются по дате подачи заявки муниципальным образованием.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 xml:space="preserve">Победителями конкурсного отбора признаются муниципальные образования, заявки которых в сформированном перечне набрали наибольшее количество баллов. Количество победителей конкурсного отбора определяется исходя из объема субсидий, предусмотренных в областном бюджете в текущем финансовом году на </w:t>
      </w:r>
      <w:proofErr w:type="spellStart"/>
      <w:r>
        <w:t>софинансирование</w:t>
      </w:r>
      <w:proofErr w:type="spellEnd"/>
      <w:r>
        <w:t xml:space="preserve"> соответствующих расходных обязательств муниципальных образований.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 xml:space="preserve">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последовательности, определенной в перечне в предыдущем году, перед заявками на участие в конкурсном отборе объектов, набравшими наибольшее количество баллов в текущем году. Под переходящими объектами для целей настоящего Порядка понимаются объекты,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субсидий, утвержденного в соответствии с </w:t>
      </w:r>
      <w:hyperlink w:anchor="P91" w:history="1">
        <w:r>
          <w:rPr>
            <w:color w:val="0000FF"/>
          </w:rPr>
          <w:t>пунктом 3.11</w:t>
        </w:r>
      </w:hyperlink>
      <w:r>
        <w:t xml:space="preserve"> настоящего Порядка.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3.8. Общий объем субсидий распределяется между муниципальными образованиями по следующей формуле:</w:t>
      </w:r>
    </w:p>
    <w:p w:rsidR="00844028" w:rsidRDefault="00844028">
      <w:pPr>
        <w:pStyle w:val="ConsPlusNormal"/>
        <w:ind w:firstLine="540"/>
        <w:jc w:val="both"/>
      </w:pPr>
    </w:p>
    <w:p w:rsidR="00844028" w:rsidRDefault="00844028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(1 - </w:t>
      </w:r>
      <w:proofErr w:type="spellStart"/>
      <w:r>
        <w:t>ДС</w:t>
      </w:r>
      <w:r>
        <w:rPr>
          <w:vertAlign w:val="subscript"/>
        </w:rPr>
        <w:t>i</w:t>
      </w:r>
      <w:proofErr w:type="spellEnd"/>
      <w:r>
        <w:t>),</w:t>
      </w:r>
    </w:p>
    <w:p w:rsidR="00844028" w:rsidRDefault="00844028">
      <w:pPr>
        <w:pStyle w:val="ConsPlusNormal"/>
        <w:ind w:firstLine="540"/>
        <w:jc w:val="both"/>
      </w:pPr>
    </w:p>
    <w:p w:rsidR="00844028" w:rsidRDefault="00844028">
      <w:pPr>
        <w:pStyle w:val="ConsPlusNormal"/>
        <w:ind w:firstLine="540"/>
        <w:jc w:val="both"/>
      </w:pPr>
      <w:r>
        <w:t>где:</w:t>
      </w:r>
    </w:p>
    <w:p w:rsidR="00844028" w:rsidRDefault="00844028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субсидий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844028" w:rsidRDefault="0084402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субсидий;</w:t>
      </w:r>
      <w:proofErr w:type="gramEnd"/>
    </w:p>
    <w:p w:rsidR="00844028" w:rsidRDefault="00844028">
      <w:pPr>
        <w:pStyle w:val="ConsPlusNormal"/>
        <w:spacing w:before="220"/>
        <w:ind w:firstLine="540"/>
        <w:jc w:val="both"/>
      </w:pPr>
      <w:proofErr w:type="spellStart"/>
      <w:r>
        <w:t>ДС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минимальная доля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844028" w:rsidRDefault="00844028">
      <w:pPr>
        <w:pStyle w:val="ConsPlusNormal"/>
        <w:ind w:firstLine="540"/>
        <w:jc w:val="both"/>
      </w:pPr>
    </w:p>
    <w:p w:rsidR="00844028" w:rsidRDefault="00844028">
      <w:pPr>
        <w:pStyle w:val="ConsPlusNormal"/>
        <w:ind w:firstLine="540"/>
        <w:jc w:val="both"/>
      </w:pPr>
      <w:r>
        <w:t xml:space="preserve">3.9. Минимальная доля </w:t>
      </w:r>
      <w:proofErr w:type="spellStart"/>
      <w:r>
        <w:t>софинансирования</w:t>
      </w:r>
      <w:proofErr w:type="spellEnd"/>
      <w:r>
        <w:t xml:space="preserve"> определяется для муниципального образования по следующей формуле:</w:t>
      </w:r>
    </w:p>
    <w:p w:rsidR="00844028" w:rsidRDefault="00844028">
      <w:pPr>
        <w:pStyle w:val="ConsPlusNormal"/>
        <w:ind w:firstLine="540"/>
        <w:jc w:val="both"/>
      </w:pPr>
    </w:p>
    <w:p w:rsidR="00844028" w:rsidRDefault="00844028">
      <w:pPr>
        <w:pStyle w:val="ConsPlusNormal"/>
        <w:jc w:val="center"/>
      </w:pPr>
      <w:r w:rsidRPr="002C4335">
        <w:rPr>
          <w:position w:val="-27"/>
        </w:rPr>
        <w:pict>
          <v:shape id="_x0000_i1025" style="width:113.25pt;height:38.25pt" coordsize="" o:spt="100" adj="0,,0" path="" filled="f" stroked="f">
            <v:stroke joinstyle="miter"/>
            <v:imagedata r:id="rId14" o:title="base_25_211758_32769"/>
            <v:formulas/>
            <v:path o:connecttype="segments"/>
          </v:shape>
        </w:pict>
      </w:r>
    </w:p>
    <w:p w:rsidR="00844028" w:rsidRDefault="00844028">
      <w:pPr>
        <w:pStyle w:val="ConsPlusNormal"/>
        <w:ind w:firstLine="540"/>
        <w:jc w:val="both"/>
      </w:pPr>
    </w:p>
    <w:p w:rsidR="00844028" w:rsidRDefault="00844028">
      <w:pPr>
        <w:pStyle w:val="ConsPlusNormal"/>
        <w:ind w:firstLine="540"/>
        <w:jc w:val="both"/>
      </w:pPr>
      <w:r>
        <w:t>где:</w:t>
      </w:r>
    </w:p>
    <w:p w:rsidR="00844028" w:rsidRDefault="00844028">
      <w:pPr>
        <w:pStyle w:val="ConsPlusNormal"/>
        <w:spacing w:before="220"/>
        <w:ind w:firstLine="540"/>
        <w:jc w:val="both"/>
      </w:pPr>
      <w:proofErr w:type="spellStart"/>
      <w:r>
        <w:lastRenderedPageBreak/>
        <w:t>ДС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минимальная доля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844028" w:rsidRDefault="00844028">
      <w:pPr>
        <w:pStyle w:val="ConsPlusNormal"/>
        <w:spacing w:before="220"/>
        <w:ind w:firstLine="540"/>
        <w:jc w:val="both"/>
      </w:pPr>
      <w:proofErr w:type="spellStart"/>
      <w:r>
        <w:t>ДС</w:t>
      </w:r>
      <w:r>
        <w:rPr>
          <w:vertAlign w:val="subscript"/>
        </w:rPr>
        <w:t>б</w:t>
      </w:r>
      <w:proofErr w:type="spellEnd"/>
      <w:r>
        <w:t xml:space="preserve"> - базовый процент (доля) финансирования за счет средств бюджета муниципального образования обязательств, на исполнение которых предоставляются субсидии, в едином для всех муниципальных образований размере - 3 проц.;</w:t>
      </w:r>
    </w:p>
    <w:p w:rsidR="00844028" w:rsidRDefault="00844028">
      <w:pPr>
        <w:pStyle w:val="ConsPlusNormal"/>
        <w:spacing w:before="220"/>
        <w:ind w:firstLine="540"/>
        <w:jc w:val="both"/>
      </w:pPr>
      <w:proofErr w:type="spellStart"/>
      <w:r>
        <w:t>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расчетная бюджетная обеспеченность i-</w:t>
      </w:r>
      <w:proofErr w:type="spellStart"/>
      <w:r>
        <w:t>го</w:t>
      </w:r>
      <w:proofErr w:type="spellEnd"/>
      <w:r>
        <w:t xml:space="preserve"> муниципального образования после выравнивания;</w:t>
      </w:r>
    </w:p>
    <w:p w:rsidR="00844028" w:rsidRDefault="00844028">
      <w:pPr>
        <w:pStyle w:val="ConsPlusNormal"/>
        <w:spacing w:before="220"/>
        <w:ind w:firstLine="540"/>
        <w:jc w:val="both"/>
      </w:pPr>
      <w:proofErr w:type="spellStart"/>
      <w:r>
        <w:t>РБО</w:t>
      </w:r>
      <w:r>
        <w:rPr>
          <w:vertAlign w:val="subscript"/>
        </w:rPr>
        <w:t>ср</w:t>
      </w:r>
      <w:proofErr w:type="spellEnd"/>
      <w:r>
        <w:t xml:space="preserve"> - средняя расчетная бюджетная обеспеченность муниципальных образований после выравнивания.</w:t>
      </w:r>
    </w:p>
    <w:p w:rsidR="00844028" w:rsidRDefault="00844028">
      <w:pPr>
        <w:pStyle w:val="ConsPlusNormal"/>
        <w:ind w:firstLine="540"/>
        <w:jc w:val="both"/>
      </w:pPr>
    </w:p>
    <w:p w:rsidR="00844028" w:rsidRDefault="00844028">
      <w:pPr>
        <w:pStyle w:val="ConsPlusNormal"/>
        <w:ind w:firstLine="540"/>
        <w:jc w:val="both"/>
      </w:pPr>
      <w:r>
        <w:t xml:space="preserve">В качестве расчетной бюджетной обеспеченности после выравнивания применяется расчетная бюджетная обеспеченность после выравнивания, определенная в соответствии с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8 августа 2005 года N 67-оз "О фондах финансовой поддержки муниципальных образований Ленинградской области" на очередной финансовый год и на плановый период.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 xml:space="preserve">Минимальная доля </w:t>
      </w:r>
      <w:proofErr w:type="spellStart"/>
      <w:r>
        <w:t>софинансирования</w:t>
      </w:r>
      <w:proofErr w:type="spellEnd"/>
      <w:r>
        <w:t xml:space="preserve"> для муниципального образования для каждого года предоставления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 не может быть установлена более доли, соответствующей пяти процентам собственных доходов местного бюджета, запланированных на год, в котором осуществляется распределение субсидий. В целях определения минимальной доли </w:t>
      </w:r>
      <w:proofErr w:type="spellStart"/>
      <w:r>
        <w:t>софинансирования</w:t>
      </w:r>
      <w:proofErr w:type="spellEnd"/>
      <w:r>
        <w:t xml:space="preserve">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(на текущий финансовый год и на плановый период) по состоянию на 1 января года, в котором осуществляется распределение субсидий.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"Интернет".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 xml:space="preserve">3.10. Решение экспертного совета с указанием результатов конкурсного отбора и объемов субсидий, предусмотренных бюджетам муниципальных образований, оформляется протоколом в течение 2 рабочих дней </w:t>
      </w:r>
      <w:proofErr w:type="gramStart"/>
      <w:r>
        <w:t>с даты проведения</w:t>
      </w:r>
      <w:proofErr w:type="gramEnd"/>
      <w:r>
        <w:t xml:space="preserve"> заседания экспертного совета.</w:t>
      </w:r>
    </w:p>
    <w:p w:rsidR="00844028" w:rsidRDefault="00844028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3.11. </w:t>
      </w:r>
      <w:proofErr w:type="gramStart"/>
      <w:r>
        <w:t>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"Интернет" и подготавливает проекты постановлений Правительства Ленинградской области о распределении субсидий, об утверждении перечня объектов, выполнение работ по которым планируется осуществить посредством предоставления субсидий.</w:t>
      </w:r>
      <w:proofErr w:type="gramEnd"/>
    </w:p>
    <w:p w:rsidR="00844028" w:rsidRDefault="00844028">
      <w:pPr>
        <w:pStyle w:val="ConsPlusNormal"/>
        <w:spacing w:before="220"/>
        <w:ind w:firstLine="540"/>
        <w:jc w:val="both"/>
      </w:pPr>
      <w:r>
        <w:t xml:space="preserve">3.12. При увеличении ассигнований областного бюджета </w:t>
      </w:r>
      <w:proofErr w:type="gramStart"/>
      <w:r>
        <w:t>и(</w:t>
      </w:r>
      <w:proofErr w:type="gramEnd"/>
      <w:r>
        <w:t>или) при наличии экономии бюджетных средств, образовавшейся в результате конкурсных процедур, проведенных муниципальными образованиями,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3.13. Утвержденный объем субсидий для муниципального образования, ранее прошедшего конкурсный отбор, может быть пересмотрен: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а) при уточнении расчетного объема расходов, необходимого для достижения значений целевых показателей результативности;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lastRenderedPageBreak/>
        <w:t>б) при увеличении общего объема бюджетных ассигнований областного бюджета, предусмотренного для предоставления субсидий;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в) при распределении нераспределенного объема субсидий;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г) при распределении объема субсидий, образовавшегося в результате отказа одного или нескольких муниципальных образований от подписания соглашений;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д) в случае выделения средств федерального бюджета по итогам прохождения отбора государственных программ субъектов Российской Федерации (подпрограмм государственных программ субъектов Российской Федерации), направленных на устойчивое развитие сельских территорий.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Пересмотр утвержденного объема субсидий для муниципальных образований осуществляется в соответствии с настоящим Порядком.</w:t>
      </w:r>
    </w:p>
    <w:p w:rsidR="00844028" w:rsidRDefault="00844028">
      <w:pPr>
        <w:pStyle w:val="ConsPlusNormal"/>
        <w:ind w:firstLine="540"/>
        <w:jc w:val="both"/>
      </w:pPr>
    </w:p>
    <w:p w:rsidR="00844028" w:rsidRDefault="00844028">
      <w:pPr>
        <w:pStyle w:val="ConsPlusTitle"/>
        <w:jc w:val="center"/>
        <w:outlineLvl w:val="1"/>
      </w:pPr>
      <w:r>
        <w:t>4. Порядок перечисления и расходования субсидий</w:t>
      </w:r>
    </w:p>
    <w:p w:rsidR="00844028" w:rsidRDefault="00844028">
      <w:pPr>
        <w:pStyle w:val="ConsPlusNormal"/>
        <w:ind w:firstLine="540"/>
        <w:jc w:val="both"/>
      </w:pPr>
    </w:p>
    <w:p w:rsidR="00844028" w:rsidRDefault="00844028">
      <w:pPr>
        <w:pStyle w:val="ConsPlusNormal"/>
        <w:ind w:firstLine="540"/>
        <w:jc w:val="both"/>
      </w:pPr>
      <w:r>
        <w:t>4.1. Перечисление межбюджетных субсидий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эти межбюджетные субсидии.</w:t>
      </w:r>
    </w:p>
    <w:p w:rsidR="00844028" w:rsidRDefault="008440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20.08.2018 N 299)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Муниципальные образования представляют главному распорядителю бюджетных средств документы, подтверждающие потребность в осуществлении расходов.</w:t>
      </w:r>
    </w:p>
    <w:p w:rsidR="00844028" w:rsidRDefault="0084402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21.01.2019 N 7)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осуществлении расходов за счет средств субсидий, определяется соглашением о предоставлении субсидий.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главному распорядителю бюджетных сре</w:t>
      </w:r>
      <w:proofErr w:type="gramStart"/>
      <w:r>
        <w:t>дств св</w:t>
      </w:r>
      <w:proofErr w:type="gramEnd"/>
      <w:r>
        <w:t>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844028" w:rsidRDefault="0084402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21.01.2019 N 7)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4.2. Главный распорядитель бюджетных сре</w:t>
      </w:r>
      <w:proofErr w:type="gramStart"/>
      <w:r>
        <w:t>дств в т</w:t>
      </w:r>
      <w:proofErr w:type="gramEnd"/>
      <w:r>
        <w:t>ечение 3 рабочих дней со дня поступления проверяет полноту представленных муниципальным образованием документов в соответствии с соглашением.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 xml:space="preserve">При отсутствии замечаний к представленным документам средства субсидий подлежат перечислению не позднее 10 рабочих дней </w:t>
      </w:r>
      <w:proofErr w:type="gramStart"/>
      <w:r>
        <w:t>с даты представления</w:t>
      </w:r>
      <w:proofErr w:type="gramEnd"/>
      <w:r>
        <w:t xml:space="preserve"> документов.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При заключении муниципального контракта размер средств по источникам финансирования, в том числе субсидии, предоставляемой из областного бюджета, уменьшается пропорционально снижению начальной (максимальной) цены контракта по результатам проведения конкурсных процедур.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4.3.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lastRenderedPageBreak/>
        <w:t>4.5. Принятие решения о подтверждении потребности в текущем году в остатках субсидий, предоставленных в отчетном году, допускается однократно в течение срока действия соглашения.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4.6.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844028" w:rsidRDefault="00844028">
      <w:pPr>
        <w:pStyle w:val="ConsPlusNormal"/>
        <w:spacing w:before="220"/>
        <w:ind w:firstLine="540"/>
        <w:jc w:val="both"/>
      </w:pPr>
      <w:r>
        <w:t xml:space="preserve">4.8.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целевых показателей результативности, предусмотренных соглашением, к муниципальному образованию применяются меры ответственности в порядке, установленном </w:t>
      </w:r>
      <w:hyperlink r:id="rId19" w:history="1">
        <w:r>
          <w:rPr>
            <w:color w:val="0000FF"/>
          </w:rPr>
          <w:t>разделом 6</w:t>
        </w:r>
      </w:hyperlink>
      <w:r>
        <w:t xml:space="preserve"> приложения к постановлению Правительства Ленинградской области от 20 июля 2016 года N 257 "Об утверждении Правил предоставления субсидий местным бюджетам из областного бюджета Ленинградской области".</w:t>
      </w:r>
    </w:p>
    <w:p w:rsidR="00165B10" w:rsidRDefault="00165B10"/>
    <w:sectPr w:rsidR="00165B10" w:rsidSect="0034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8"/>
    <w:rsid w:val="00165B10"/>
    <w:rsid w:val="008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BF6413A0B4E6C740F9D63C6C8573BDBD42BFAAE167C5FCDF158526C941C284F5B0671E3ECEDB860FEED88CA35FDBC77C89F2545DD6302F8g6L" TargetMode="External"/><Relationship Id="rId13" Type="http://schemas.openxmlformats.org/officeDocument/2006/relationships/hyperlink" Target="consultantplus://offline/ref=2AFBF6413A0B4E6C740F9D63C6C8573BDBD423FFAB1E7C5FCDF158526C941C284F5B0671E3ECEFBD6DFEED88CA35FDBC77C89F2545DD6302F8g6L" TargetMode="External"/><Relationship Id="rId18" Type="http://schemas.openxmlformats.org/officeDocument/2006/relationships/hyperlink" Target="consultantplus://offline/ref=2AFBF6413A0B4E6C740F9D63C6C8573BDBD423FFAB1E7C5FCDF158526C941C284F5B0671E3ECEFBD6CFEED88CA35FDBC77C89F2545DD6302F8g6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AFBF6413A0B4E6C740F9D63C6C8573BDBD423FFAB1E7C5FCDF158526C941C284F5B0671E3ECEFBD63FEED88CA35FDBC77C89F2545DD6302F8g6L" TargetMode="External"/><Relationship Id="rId12" Type="http://schemas.openxmlformats.org/officeDocument/2006/relationships/hyperlink" Target="consultantplus://offline/ref=2AFBF6413A0B4E6C740F9D63C6C8573BDBD429F9A5177C5FCDF158526C941C284F5B0671E3ECEFBA66FEED88CA35FDBC77C89F2545DD6302F8g6L" TargetMode="External"/><Relationship Id="rId17" Type="http://schemas.openxmlformats.org/officeDocument/2006/relationships/hyperlink" Target="consultantplus://offline/ref=2AFBF6413A0B4E6C740F9D63C6C8573BDBD423FFAB1E7C5FCDF158526C941C284F5B0671E3ECEFBD6CFEED88CA35FDBC77C89F2545DD6302F8g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FBF6413A0B4E6C740F9D63C6C8573BDBD429F9A5177C5FCDF158526C941C284F5B0671E3ECEFBB65FEED88CA35FDBC77C89F2545DD6302F8g6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BF6413A0B4E6C740F9D63C6C8573BDBD429F9A5177C5FCDF158526C941C284F5B0671E3ECEFBA67FEED88CA35FDBC77C89F2545DD6302F8g6L" TargetMode="External"/><Relationship Id="rId11" Type="http://schemas.openxmlformats.org/officeDocument/2006/relationships/hyperlink" Target="consultantplus://offline/ref=2AFBF6413A0B4E6C740F9D63C6C8573BDBD52BF8A8137C5FCDF158526C941C284F5B0671E5EDEFBD67FEED88CA35FDBC77C89F2545DD6302F8g6L" TargetMode="External"/><Relationship Id="rId5" Type="http://schemas.openxmlformats.org/officeDocument/2006/relationships/hyperlink" Target="consultantplus://offline/ref=2AFBF6413A0B4E6C740F9D63C6C8573BDBD52BF8A8137C5FCDF158526C941C284F5B0671E1E5E7BA66FEED88CA35FDBC77C89F2545DD6302F8g6L" TargetMode="External"/><Relationship Id="rId15" Type="http://schemas.openxmlformats.org/officeDocument/2006/relationships/hyperlink" Target="consultantplus://offline/ref=2AFBF6413A0B4E6C740F9D63C6C8573BDBD42EF4AC117C5FCDF158526C941C285D5B5E7DE1EEF1BC60EBBBD98FF6g9L" TargetMode="External"/><Relationship Id="rId10" Type="http://schemas.openxmlformats.org/officeDocument/2006/relationships/hyperlink" Target="consultantplus://offline/ref=2AFBF6413A0B4E6C740F9D63C6C8573BDBD423FFAB1E7C5FCDF158526C941C284F5B0671E3ECEFBD62FEED88CA35FDBC77C89F2545DD6302F8g6L" TargetMode="External"/><Relationship Id="rId19" Type="http://schemas.openxmlformats.org/officeDocument/2006/relationships/hyperlink" Target="consultantplus://offline/ref=2AFBF6413A0B4E6C740F9D63C6C8573BDBD42BFAAE167C5FCDF158526C941C284F5B0671E3ECECB862FEED88CA35FDBC77C89F2545DD6302F8g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FBF6413A0B4E6C740F9D63C6C8573BDBD42BFAAE167C5FCDF158526C941C284F5B0671E3ECEDB966FEED88CA35FDBC77C89F2545DD6302F8g6L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2019-05-22T11:32:00Z</dcterms:created>
  <dcterms:modified xsi:type="dcterms:W3CDTF">2019-05-22T11:32:00Z</dcterms:modified>
</cp:coreProperties>
</file>