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15" w:rsidRDefault="00AC5C15">
      <w:pPr>
        <w:pStyle w:val="ConsPlusNormal"/>
        <w:jc w:val="right"/>
        <w:outlineLvl w:val="0"/>
      </w:pPr>
      <w:r>
        <w:t>Приложение 6</w:t>
      </w:r>
    </w:p>
    <w:p w:rsidR="00AC5C15" w:rsidRDefault="00AC5C15">
      <w:pPr>
        <w:pStyle w:val="ConsPlusNormal"/>
        <w:jc w:val="right"/>
      </w:pPr>
      <w:r>
        <w:t>к Государственной программе</w:t>
      </w:r>
      <w:proofErr w:type="gramStart"/>
      <w:r>
        <w:t>..</w:t>
      </w:r>
      <w:proofErr w:type="gramEnd"/>
    </w:p>
    <w:p w:rsidR="00AC5C15" w:rsidRDefault="00AC5C15">
      <w:pPr>
        <w:pStyle w:val="ConsPlusNormal"/>
      </w:pPr>
    </w:p>
    <w:p w:rsidR="00AC5C15" w:rsidRDefault="00AC5C15">
      <w:pPr>
        <w:pStyle w:val="ConsPlusTitle"/>
        <w:jc w:val="center"/>
      </w:pPr>
      <w:r>
        <w:t>ПОРЯДОК</w:t>
      </w:r>
    </w:p>
    <w:p w:rsidR="00AC5C15" w:rsidRDefault="00AC5C15">
      <w:pPr>
        <w:pStyle w:val="ConsPlusTitle"/>
        <w:jc w:val="center"/>
      </w:pPr>
      <w:r>
        <w:t>ПРЕДОСТАВЛЕНИЯ СУБСИДИЙ БЮДЖЕТАМ МУНИЦИПАЛЬНЫХ ОБРАЗОВАНИЙ</w:t>
      </w:r>
    </w:p>
    <w:p w:rsidR="00AC5C15" w:rsidRDefault="00AC5C15">
      <w:pPr>
        <w:pStyle w:val="ConsPlusTitle"/>
        <w:jc w:val="center"/>
      </w:pPr>
      <w:r>
        <w:t>ЛЕНИНГРАДСКОЙ ОБЛАСТИ НА КАПИТАЛЬНЫЙ РЕМОНТ ОБЪЕКТОВ</w:t>
      </w:r>
    </w:p>
    <w:p w:rsidR="00AC5C15" w:rsidRDefault="00AC5C15">
      <w:pPr>
        <w:pStyle w:val="ConsPlusTitle"/>
        <w:jc w:val="center"/>
      </w:pPr>
      <w:r>
        <w:t>В ЦЕЛЯХ ОБУСТРОЙСТВА СЕЛЬСКИХ НАСЕЛЕННЫХ ПУНКТОВ В РАМКАХ</w:t>
      </w:r>
    </w:p>
    <w:p w:rsidR="00AC5C15" w:rsidRDefault="00AC5C15">
      <w:pPr>
        <w:pStyle w:val="ConsPlusTitle"/>
        <w:jc w:val="center"/>
      </w:pPr>
      <w:r>
        <w:t>РЕАЛИЗАЦИИ ОСНОВНОГО МЕРОПРИЯТИЯ "КОМПЛЕКСНОЕ ОБУСТРОЙСТВО</w:t>
      </w:r>
    </w:p>
    <w:p w:rsidR="00AC5C15" w:rsidRDefault="00AC5C15">
      <w:pPr>
        <w:pStyle w:val="ConsPlusTitle"/>
        <w:jc w:val="center"/>
      </w:pPr>
      <w:r>
        <w:t>НАСЕЛЕННЫХ ПУНКТОВ, РАСПОЛОЖЕННЫХ В СЕЛЬСКОЙ МЕСТНОСТИ,</w:t>
      </w:r>
    </w:p>
    <w:p w:rsidR="00AC5C15" w:rsidRDefault="00AC5C15">
      <w:pPr>
        <w:pStyle w:val="ConsPlusTitle"/>
        <w:jc w:val="center"/>
      </w:pPr>
      <w:r>
        <w:t>ОБЪЕКТАМИ СОЦИАЛЬНОЙ И ИНЖЕНЕРНОЙ ИНФРАСТРУКТУРЫ"</w:t>
      </w:r>
    </w:p>
    <w:p w:rsidR="00AC5C15" w:rsidRDefault="00AC5C15">
      <w:pPr>
        <w:pStyle w:val="ConsPlusTitle"/>
        <w:jc w:val="center"/>
      </w:pPr>
      <w:r>
        <w:t>ПОДПРОГРАММЫ "УСТОЙЧИВОЕ РАЗВИТИЕ СЕЛЬСКИХ ТЕРРИТОРИЙ</w:t>
      </w:r>
    </w:p>
    <w:p w:rsidR="00AC5C15" w:rsidRDefault="00AC5C15">
      <w:pPr>
        <w:pStyle w:val="ConsPlusTitle"/>
        <w:jc w:val="center"/>
      </w:pPr>
      <w:r>
        <w:t>ЛЕНИНГРАДСКОЙ ОБЛАСТИ"</w:t>
      </w:r>
    </w:p>
    <w:p w:rsidR="00AC5C15" w:rsidRDefault="00AC5C15">
      <w:pPr>
        <w:pStyle w:val="ConsPlusNormal"/>
      </w:pPr>
      <w:bookmarkStart w:id="0" w:name="_GoBack"/>
      <w:bookmarkEnd w:id="0"/>
    </w:p>
    <w:p w:rsidR="00AC5C15" w:rsidRDefault="00AC5C15">
      <w:pPr>
        <w:pStyle w:val="ConsPlusTitle"/>
        <w:jc w:val="center"/>
        <w:outlineLvl w:val="1"/>
      </w:pPr>
      <w:r>
        <w:t>1. Общие положения</w:t>
      </w:r>
    </w:p>
    <w:p w:rsidR="00AC5C15" w:rsidRDefault="00AC5C15">
      <w:pPr>
        <w:pStyle w:val="ConsPlusNormal"/>
        <w:ind w:firstLine="540"/>
        <w:jc w:val="both"/>
      </w:pPr>
    </w:p>
    <w:p w:rsidR="00AC5C15" w:rsidRDefault="00AC5C1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Настоящим Порядком определяются цели, условия, порядок предоставления субсидий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капитальный ремонт сети учреждений культурно-досуговой деятельности в сельской местности в рамках основного мероприятия "Комплексное обустройство населенных пунктов, расположенных в сельской местности, объектами социальной и инженерной инфраструктуры" подпрограммы "Устойчивое развитие сельских территорий Ленинградской области" (далее - субсидии</w:t>
      </w:r>
      <w:proofErr w:type="gramEnd"/>
      <w:r>
        <w:t>) и критерии отбора муниципальных образований для предоставления субсидий.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1.2. Субсидии предоставляются на </w:t>
      </w:r>
      <w:proofErr w:type="spellStart"/>
      <w:r>
        <w:t>софинансирование</w:t>
      </w:r>
      <w:proofErr w:type="spellEnd"/>
      <w: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вопросам местного значения в части создания условий для организации досуга и обеспечения жителей поселения услугами организаций культуры.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1.3.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(далее - комитет).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1.4. В целях настоящего Порядка под объектом понимается набор работ по капитальному ремонту объекта капитального строительства либо помещения, находящегося в собственности муниципального образования, в котором размещается учреждение культуры.</w:t>
      </w:r>
    </w:p>
    <w:p w:rsidR="00AC5C15" w:rsidRDefault="00AC5C15">
      <w:pPr>
        <w:pStyle w:val="ConsPlusNormal"/>
      </w:pPr>
    </w:p>
    <w:p w:rsidR="00AC5C15" w:rsidRDefault="00AC5C15">
      <w:pPr>
        <w:pStyle w:val="ConsPlusTitle"/>
        <w:jc w:val="center"/>
        <w:outlineLvl w:val="1"/>
      </w:pPr>
      <w:r>
        <w:t>2. Цели и условия предоставления субсидий, критерии отбора</w:t>
      </w:r>
    </w:p>
    <w:p w:rsidR="00AC5C15" w:rsidRDefault="00AC5C15">
      <w:pPr>
        <w:pStyle w:val="ConsPlusTitle"/>
        <w:jc w:val="center"/>
      </w:pPr>
      <w:r>
        <w:t>муниципальных образований для предоставления субсидий</w:t>
      </w:r>
    </w:p>
    <w:p w:rsidR="00AC5C15" w:rsidRDefault="00AC5C15">
      <w:pPr>
        <w:pStyle w:val="ConsPlusNormal"/>
        <w:ind w:firstLine="540"/>
        <w:jc w:val="both"/>
      </w:pPr>
    </w:p>
    <w:p w:rsidR="00AC5C15" w:rsidRDefault="00AC5C15">
      <w:pPr>
        <w:pStyle w:val="ConsPlusNormal"/>
        <w:ind w:firstLine="540"/>
        <w:jc w:val="both"/>
      </w:pPr>
      <w:r>
        <w:t>2.1. Субсидии предоставляются в целях приведения технического состояния учреждений культуры, расположенных в сельской местности, в соответствие с нормативными требованиями, улучшения материально-технической базы учреждений культуры.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Субсидии предоставляются на осуществление капитального ремонта сельских учреждений культуры.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2.2. Целевым показателем результативности предоставления субсидии (далее - целевой показатель результативности) является процент выполнения работ по соответствующему объекту. Плановое значение целевого показателя результативности определяется на основании заявки муниципального образования и устанавливается соглашением о предоставлении субсидии, заключаемым между комитетом и муниципальным образованием (далее - соглашение).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lastRenderedPageBreak/>
        <w:t>2.3. Субсидии предоставляются при соблюдении следующих условий:</w:t>
      </w:r>
    </w:p>
    <w:p w:rsidR="00AC5C15" w:rsidRDefault="00AC5C15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а) наличие в бюджете муниципального образования бюджетных ассигнований на исполнение обязательств, </w:t>
      </w:r>
      <w:proofErr w:type="spellStart"/>
      <w:r>
        <w:t>софинансируемых</w:t>
      </w:r>
      <w:proofErr w:type="spellEnd"/>
      <w:r>
        <w:t xml:space="preserve"> за счет субсидий, подтверждаемое выпиской из бюджета муниципального образования (выпиской из сводной бюджетной росписи бюджета муниципального образования), представляемой при заключении соглашения;</w:t>
      </w:r>
    </w:p>
    <w:p w:rsidR="00AC5C15" w:rsidRDefault="00AC5C15">
      <w:pPr>
        <w:pStyle w:val="ConsPlusNormal"/>
        <w:spacing w:before="220"/>
        <w:ind w:firstLine="540"/>
        <w:jc w:val="both"/>
      </w:pPr>
      <w:bookmarkStart w:id="2" w:name="P31"/>
      <w:bookmarkEnd w:id="2"/>
      <w:r>
        <w:t>б) наличие муниципальной программы (подпрограммы), предусматривающей мероприятия, соответствующие целям подпрограммы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 (далее - подпрограмма);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в) соблюдение муниципальным образованием минимальной доли расходов на финансирование расходных обязательств, </w:t>
      </w:r>
      <w:proofErr w:type="spellStart"/>
      <w:r>
        <w:t>софинансируемых</w:t>
      </w:r>
      <w:proofErr w:type="spellEnd"/>
      <w:r>
        <w:t xml:space="preserve"> за счет субсидий (далее - минимальная доля </w:t>
      </w:r>
      <w:proofErr w:type="spellStart"/>
      <w:r>
        <w:t>софинансирования</w:t>
      </w:r>
      <w:proofErr w:type="spellEnd"/>
      <w:r>
        <w:t>);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г) соблюдение условий предоставления межбюджетных трансфертов из областного бюджета, установленных </w:t>
      </w:r>
      <w:hyperlink r:id="rId5" w:history="1">
        <w:r>
          <w:rPr>
            <w:color w:val="0000FF"/>
          </w:rPr>
          <w:t>пунктами 2</w:t>
        </w:r>
      </w:hyperlink>
      <w:r>
        <w:t xml:space="preserve"> - </w:t>
      </w:r>
      <w:hyperlink r:id="rId6" w:history="1">
        <w:r>
          <w:rPr>
            <w:color w:val="0000FF"/>
          </w:rPr>
          <w:t>4 статьи 136</w:t>
        </w:r>
      </w:hyperlink>
      <w:r>
        <w:t xml:space="preserve"> Бюджетного кодекса Российской Федерации;</w:t>
      </w:r>
    </w:p>
    <w:p w:rsidR="00AC5C15" w:rsidRDefault="00AC5C15">
      <w:pPr>
        <w:pStyle w:val="ConsPlusNormal"/>
        <w:spacing w:before="220"/>
        <w:ind w:firstLine="540"/>
        <w:jc w:val="both"/>
      </w:pPr>
      <w:bookmarkStart w:id="3" w:name="P34"/>
      <w:bookmarkEnd w:id="3"/>
      <w:r>
        <w:t>д) отсутствие просроченной задолженности по выплате заработной платы работникам муниципальных учреждений Ленинградской области;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е) заключение муниципальным образованием соглашения не позднее 1 апреля года предоставления субсидии, а в случае внесения изменений в распределение субсидий - в срок, не превышающий одного месяца со дня утверждения распределения субсидий.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Соглашение заключается по типовой форме, утвержденной правовым актом комитета, и устанавливает: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объем субсидий, подлежащий предоставлению из областного бюджета;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значения целевого показателя результативности, а также детализированные требования к достижению значений целевого показателя результативности;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значение минимальной доли </w:t>
      </w:r>
      <w:proofErr w:type="spellStart"/>
      <w:r>
        <w:t>софинансирования</w:t>
      </w:r>
      <w:proofErr w:type="spellEnd"/>
      <w:r>
        <w:t>;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обязанность муниципального образования в случае </w:t>
      </w:r>
      <w:proofErr w:type="spellStart"/>
      <w:r>
        <w:t>недостижения</w:t>
      </w:r>
      <w:proofErr w:type="spellEnd"/>
      <w:r>
        <w:t xml:space="preserve"> значений целевого показателя результативности вернуть в областной бюджет средства в объеме, определяемом в соответствии с </w:t>
      </w:r>
      <w:hyperlink r:id="rId7" w:history="1">
        <w:r>
          <w:rPr>
            <w:color w:val="0000FF"/>
          </w:rPr>
          <w:t>разделом 6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Правила);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обязанность муниципального образования по соблюдению фактической доли расходов бюджета муниципального образования на финансирование обязательств, </w:t>
      </w:r>
      <w:proofErr w:type="spellStart"/>
      <w:r>
        <w:t>софинансируемых</w:t>
      </w:r>
      <w:proofErr w:type="spellEnd"/>
      <w:r>
        <w:t xml:space="preserve"> за счет субсидий, в отчетном году;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сроки и порядок представления отчетов о достижении значений целевого показателя результативности;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сроки и порядок представления отчетов о расходах бюджета муниципального образования, источником финансового обеспечения которых являются субсидии;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порядок осуществления комитетом </w:t>
      </w:r>
      <w:proofErr w:type="gramStart"/>
      <w:r>
        <w:t>контроля за</w:t>
      </w:r>
      <w:proofErr w:type="gramEnd"/>
      <w:r>
        <w:t xml:space="preserve"> выполнением муниципальным образованием обязательств, предусмотренных соглашением;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перечень документов, подтверждающих потребность в осуществлении расходов за счет средств субсидий;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lastRenderedPageBreak/>
        <w:t>иные положения, предусмотренные нормативным правовым актом Правительства Ленинградской области о мерах по реализации областного закона об областном бюджете.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Муниципальные образования при заключении соглашения представляют в комитет документы, подтверждающие выполнение условий, указанных в </w:t>
      </w:r>
      <w:hyperlink w:anchor="P3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1" w:history="1">
        <w:r>
          <w:rPr>
            <w:color w:val="0000FF"/>
          </w:rPr>
          <w:t>"б"</w:t>
        </w:r>
      </w:hyperlink>
      <w:r>
        <w:t xml:space="preserve"> и </w:t>
      </w:r>
      <w:hyperlink w:anchor="P34" w:history="1">
        <w:r>
          <w:rPr>
            <w:color w:val="0000FF"/>
          </w:rPr>
          <w:t>"д" пункта 2.3</w:t>
        </w:r>
      </w:hyperlink>
      <w:r>
        <w:t xml:space="preserve"> настоящего Порядка.</w:t>
      </w:r>
    </w:p>
    <w:p w:rsidR="00AC5C15" w:rsidRDefault="00AC5C15">
      <w:pPr>
        <w:pStyle w:val="ConsPlusNormal"/>
        <w:spacing w:before="220"/>
        <w:ind w:firstLine="540"/>
        <w:jc w:val="both"/>
      </w:pPr>
      <w:bookmarkStart w:id="4" w:name="P48"/>
      <w:bookmarkEnd w:id="4"/>
      <w:r>
        <w:t>2.4. Критерием отбора муниципальных образований для предоставления субсидий является наличие на территории муниципального образования объекта, включенного в перечень объектов подпрограммы "Устойчивое развитие сельских территорий Ленинградской области".</w:t>
      </w:r>
    </w:p>
    <w:p w:rsidR="00AC5C15" w:rsidRDefault="00AC5C15">
      <w:pPr>
        <w:pStyle w:val="ConsPlusNormal"/>
      </w:pPr>
    </w:p>
    <w:p w:rsidR="00AC5C15" w:rsidRDefault="00AC5C15">
      <w:pPr>
        <w:pStyle w:val="ConsPlusTitle"/>
        <w:jc w:val="center"/>
        <w:outlineLvl w:val="1"/>
      </w:pPr>
      <w:r>
        <w:t>3. Порядок проведения конкурсного отбора</w:t>
      </w:r>
    </w:p>
    <w:p w:rsidR="00AC5C15" w:rsidRDefault="00AC5C15">
      <w:pPr>
        <w:pStyle w:val="ConsPlusNormal"/>
      </w:pPr>
    </w:p>
    <w:p w:rsidR="00AC5C15" w:rsidRDefault="00AC5C15">
      <w:pPr>
        <w:pStyle w:val="ConsPlusNormal"/>
        <w:ind w:firstLine="540"/>
        <w:jc w:val="both"/>
      </w:pPr>
      <w:r>
        <w:t>3.1. Конкурсный отбор муниципальных образований для предоставления субсидий на очередной финансовый год осуществляется экспертным советом комитета в текущем финансовом году.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В состав экспертного совета входят лица, замещающие должности государственной гражданской службы в комитете.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Персональный состав экспертного совета и положение об экспертном совете утверждаются правовым актом комитета.</w:t>
      </w:r>
    </w:p>
    <w:p w:rsidR="00AC5C15" w:rsidRDefault="00AC5C15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3.2. Экспертный совет на конкурсной основе осуществляет отбор муниципальных образований согласно критериям, указанным в </w:t>
      </w:r>
      <w:hyperlink w:anchor="P48" w:history="1">
        <w:r>
          <w:rPr>
            <w:color w:val="0000FF"/>
          </w:rPr>
          <w:t>пункте 2.4</w:t>
        </w:r>
      </w:hyperlink>
      <w:r>
        <w:t xml:space="preserve"> настоящего Порядка, по результатам оценки представленных муниципальными образованиями заявок на участие в конкурсном отборе объектов (далее - заявка).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Форма заявки, перечень прилагаемых документов и требования к ним утверждаются нормативным правовым актом комитета.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информационно-телекоммуникационной сети "Интернет" (далее - сеть "Интернет") извещения о начале приема заявок муниципальных образований для участия в конкурсном отборе (далее - извещение).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3.3. Прием заявок от муниципальных образований осуществляется комитетом в течение 10 рабочих дней со дня размещения на странице комитета на официальном портале Администрации Ленинградской области в сети "Интернет" (www.agroprom.lenobl.ru) извещения. Указанный срок приема заявок фиксируется в извещении.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3.4. Рассмотрение комитетом заявок и проведение заседания экспертного совета осуществляется не позднее 15 рабочих дней со дня, следующего за указанным в извещении днем окончания приема заявок.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Основанием для отклонения заявки является представление муниципальным образованием документов, не соответствующих требованиям, установленным приказом комитета в соответствии с </w:t>
      </w:r>
      <w:hyperlink w:anchor="P55" w:history="1">
        <w:r>
          <w:rPr>
            <w:color w:val="0000FF"/>
          </w:rPr>
          <w:t>пунктом 3.2</w:t>
        </w:r>
      </w:hyperlink>
      <w:r>
        <w:t xml:space="preserve"> настоящего Порядка, </w:t>
      </w:r>
      <w:proofErr w:type="gramStart"/>
      <w:r>
        <w:t>и(</w:t>
      </w:r>
      <w:proofErr w:type="gramEnd"/>
      <w:r>
        <w:t>или) представление документов не в полном объеме.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3.5. Оценка заявок осуществляется членами экспертного совета в соответствии со следующими критериями: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наибольший уровень минимальной доли </w:t>
      </w:r>
      <w:proofErr w:type="spellStart"/>
      <w:r>
        <w:t>софинансирования</w:t>
      </w:r>
      <w:proofErr w:type="spellEnd"/>
      <w:r>
        <w:t xml:space="preserve"> за счет средств бюджета муниципального образования;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lastRenderedPageBreak/>
        <w:t>наличие реализуемых инвестиционных проектов в сфере комплексного развития территории муниципального образования;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оценка приоритетности заявляемых работ для обеспечения функционирования учреждения культуры;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численность населения, которому оказывает услуги учреждение культуры, в здании которого планируется выполнение заявляемых работ по капитальному ремонту.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Методика оценки заявок (балльная методика) утверждается нормативным правовым актом комитета.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Экспертный совет принимает решение о результатах оценки заявки по сумме набранных баллов и формирует перечень объектов, выполнение работ на которых планируется за счет средств субсидий (далее - перечень).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Перечень формируется в порядке убывания набранных баллов. При этом объекты, набравшие одинаковое количество баллов, ранжируются по дате подачи заявки муниципальным образованием.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Победителями конкурсного отбора признаются муниципальные образования, заявки которых в сформированном перечне набрали наибольшее количество баллов. Количество победителей конкурсного отбора определяется исходя из объема субсидий, предусмотренных в областном бюджете в текущем финансовом году на </w:t>
      </w:r>
      <w:proofErr w:type="spellStart"/>
      <w:r>
        <w:t>софинансирование</w:t>
      </w:r>
      <w:proofErr w:type="spellEnd"/>
      <w:r>
        <w:t xml:space="preserve"> соответствующих расходных обязательств муниципальных образований.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При наличии на территории муниципального образования переходящих объектов указанные объекты включаются в перечень без проведения конкурсного отбора в последовательности, определенной в перечне в предыдущем году, перед заявками на участие в конкурсном отборе объектов, набравшими наибольшее количество баллов в текущем году. Под переходящими объектами для целей настоящего Порядка понимаются объекты,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субсидий, утвержденного в соответствии с </w:t>
      </w:r>
      <w:hyperlink w:anchor="P85" w:history="1">
        <w:r>
          <w:rPr>
            <w:color w:val="0000FF"/>
          </w:rPr>
          <w:t>пунктом 3.9</w:t>
        </w:r>
      </w:hyperlink>
      <w:r>
        <w:t xml:space="preserve"> настоящего Порядка.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3.6. Общий объем субсидий распределяется между муниципальными образованиями по следующей формуле:</w:t>
      </w:r>
    </w:p>
    <w:p w:rsidR="00AC5C15" w:rsidRDefault="00AC5C15">
      <w:pPr>
        <w:pStyle w:val="ConsPlusNormal"/>
        <w:ind w:firstLine="540"/>
        <w:jc w:val="both"/>
      </w:pPr>
    </w:p>
    <w:p w:rsidR="00AC5C15" w:rsidRDefault="00AC5C15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(1 - </w:t>
      </w:r>
      <w:proofErr w:type="spellStart"/>
      <w:r>
        <w:t>ДС</w:t>
      </w:r>
      <w:r>
        <w:rPr>
          <w:vertAlign w:val="subscript"/>
        </w:rPr>
        <w:t>i</w:t>
      </w:r>
      <w:proofErr w:type="spellEnd"/>
      <w:r>
        <w:t>),</w:t>
      </w:r>
    </w:p>
    <w:p w:rsidR="00AC5C15" w:rsidRDefault="00AC5C15">
      <w:pPr>
        <w:pStyle w:val="ConsPlusNormal"/>
        <w:ind w:firstLine="540"/>
        <w:jc w:val="both"/>
      </w:pPr>
    </w:p>
    <w:p w:rsidR="00AC5C15" w:rsidRDefault="00AC5C15">
      <w:pPr>
        <w:pStyle w:val="ConsPlusNormal"/>
        <w:ind w:firstLine="540"/>
        <w:jc w:val="both"/>
      </w:pPr>
      <w:r>
        <w:t>где:</w:t>
      </w:r>
    </w:p>
    <w:p w:rsidR="00AC5C15" w:rsidRDefault="00AC5C15">
      <w:pPr>
        <w:pStyle w:val="ConsPlusNormal"/>
        <w:ind w:firstLine="540"/>
        <w:jc w:val="both"/>
      </w:pPr>
    </w:p>
    <w:p w:rsidR="00AC5C15" w:rsidRDefault="00AC5C15">
      <w:pPr>
        <w:pStyle w:val="ConsPlusNormal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AC5C15" w:rsidRDefault="00AC5C1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субсидий;</w:t>
      </w:r>
      <w:proofErr w:type="gramEnd"/>
    </w:p>
    <w:p w:rsidR="00AC5C15" w:rsidRDefault="00AC5C15">
      <w:pPr>
        <w:pStyle w:val="ConsPlusNormal"/>
        <w:spacing w:before="220"/>
        <w:ind w:firstLine="540"/>
        <w:jc w:val="both"/>
      </w:pPr>
      <w:proofErr w:type="spellStart"/>
      <w:r>
        <w:t>ДС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минимальная доля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AC5C15" w:rsidRDefault="00AC5C15">
      <w:pPr>
        <w:pStyle w:val="ConsPlusNormal"/>
        <w:ind w:firstLine="540"/>
        <w:jc w:val="both"/>
      </w:pPr>
    </w:p>
    <w:p w:rsidR="00AC5C15" w:rsidRDefault="00AC5C15">
      <w:pPr>
        <w:pStyle w:val="ConsPlusNormal"/>
        <w:ind w:firstLine="540"/>
        <w:jc w:val="both"/>
      </w:pPr>
      <w:r>
        <w:t xml:space="preserve">Минимальная доля </w:t>
      </w:r>
      <w:proofErr w:type="spellStart"/>
      <w:r>
        <w:t>софинансирования</w:t>
      </w:r>
      <w:proofErr w:type="spellEnd"/>
      <w:r>
        <w:t xml:space="preserve"> определяется в соответствии с заявками муниципальных образований и не может быть меньше базового процента финансирования за счет средств бюджета муниципального образования обязательств, на исполнение которых предоставляется субсидия.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lastRenderedPageBreak/>
        <w:t>Базовый процент финансирования за счет средств бюджета муниципального образования обязательств, на исполнение которых предоставляется субсидия, является единым для всех муниципальных образований и составляет пять процентов от сметной стоимости работ по капитальному ремонту объекта.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3.7. Решение экспертного совета с результатами конкурсного отбора и указанием объемов субсидий, предусмотренных бюджетам муниципальных образований, оформляется протоколом в течение двух рабочих дней </w:t>
      </w:r>
      <w:proofErr w:type="gramStart"/>
      <w:r>
        <w:t>с даты проведения</w:t>
      </w:r>
      <w:proofErr w:type="gramEnd"/>
      <w:r>
        <w:t xml:space="preserve"> заседания экспертного совета.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3.8. Комитет в течение пяти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"Интернет" и подготавливает проект распределения субсидий в соответствии с требованиями, установленными пунктом 3.9 настоящего Порядка.</w:t>
      </w:r>
    </w:p>
    <w:p w:rsidR="00AC5C15" w:rsidRDefault="00AC5C15">
      <w:pPr>
        <w:pStyle w:val="ConsPlusNormal"/>
        <w:spacing w:before="220"/>
        <w:ind w:firstLine="540"/>
        <w:jc w:val="both"/>
      </w:pPr>
      <w:bookmarkStart w:id="6" w:name="P85"/>
      <w:bookmarkEnd w:id="6"/>
      <w:r>
        <w:t>3.9. Распределение субсидий утверждается областным законом об областном бюджете.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3.10. При увеличении ассигнований областного бюджета </w:t>
      </w:r>
      <w:proofErr w:type="gramStart"/>
      <w:r>
        <w:t>и(</w:t>
      </w:r>
      <w:proofErr w:type="gramEnd"/>
      <w:r>
        <w:t>или) при наличии экономии бюджетных средств, образовавшейся в результате конкурсных процедур, проведенных муниципальными образованиями, а также при расторжении муниципального контракта комитетом проводится дополнительный отбор муниципальных образований для предоставления субсидий в соответствии с настоящим Порядком.</w:t>
      </w:r>
    </w:p>
    <w:p w:rsidR="00AC5C15" w:rsidRDefault="00AC5C15">
      <w:pPr>
        <w:pStyle w:val="ConsPlusNormal"/>
      </w:pPr>
    </w:p>
    <w:p w:rsidR="00AC5C15" w:rsidRDefault="00AC5C15">
      <w:pPr>
        <w:pStyle w:val="ConsPlusTitle"/>
        <w:jc w:val="center"/>
        <w:outlineLvl w:val="1"/>
      </w:pPr>
      <w:r>
        <w:t>4. Порядок перечисления и расходования субсидий</w:t>
      </w:r>
    </w:p>
    <w:p w:rsidR="00AC5C15" w:rsidRDefault="00AC5C15">
      <w:pPr>
        <w:pStyle w:val="ConsPlusNormal"/>
      </w:pPr>
    </w:p>
    <w:p w:rsidR="00AC5C15" w:rsidRDefault="00AC5C15">
      <w:pPr>
        <w:pStyle w:val="ConsPlusNormal"/>
        <w:ind w:firstLine="540"/>
        <w:jc w:val="both"/>
      </w:pPr>
      <w:r>
        <w:t>4.1.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4.2. Перечисление межбюджетных субсидий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эти межбюджетные субсидии.</w:t>
      </w:r>
    </w:p>
    <w:p w:rsidR="00AC5C15" w:rsidRDefault="00AC5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25.12.2018 N 516)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Муниципальное образование представляет в комитет документы, подтверждающие потребность в осуществлении расходов.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осуществлении расходов за счет средств субсидий, определяется соглашением.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4.3. Комитет в течение пяти рабочих дней со дня поступления проверяет полноту представленных муниципальным образованием документов в соответствии с соглашением.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При отсутствии замечаний к представленным документам средства субсидий подлежат перечислению в срок не позднее 10 рабочих дней </w:t>
      </w:r>
      <w:proofErr w:type="gramStart"/>
      <w:r>
        <w:t>с даты представления</w:t>
      </w:r>
      <w:proofErr w:type="gramEnd"/>
      <w:r>
        <w:t xml:space="preserve"> документов.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При заключении муниципального контракта размер средств по источникам финансирования, в том числе субсидии, предоставляемой из областного бюджета, уменьшается пропорционально снижению начальной (максимальной) цены контракта по результатам проведения конкурсных процедур.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4.4. Субсидии, не использованные в текущем финансовом году, подлежат возврату в </w:t>
      </w:r>
      <w:r>
        <w:lastRenderedPageBreak/>
        <w:t>областной бюджет в порядке и сроки, установленные правовым актом Комитета финансов Ленинградской области.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4.5. Принятие решения о подтверждении потребности в текущем году в остатках субсидий, предоставленных в отчетном году, допускается однократно в течение срока действия соглашения.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>4.6. Контроль соблюдения муниципальными образованиями целей, порядка и условий предоставления субсидий, а также достижения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C5C15" w:rsidRDefault="00AC5C15">
      <w:pPr>
        <w:pStyle w:val="ConsPlusNormal"/>
        <w:spacing w:before="220"/>
        <w:ind w:firstLine="540"/>
        <w:jc w:val="both"/>
      </w:pPr>
      <w:r>
        <w:t xml:space="preserve">4.7.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целевых показателей результативности, предусмотренных соглашением, муниципальное образование может быть привлечено к ответственности в порядке, установленном </w:t>
      </w:r>
      <w:hyperlink r:id="rId9" w:history="1">
        <w:r>
          <w:rPr>
            <w:color w:val="0000FF"/>
          </w:rPr>
          <w:t>разделом 6</w:t>
        </w:r>
      </w:hyperlink>
      <w:r>
        <w:t xml:space="preserve"> Правил предоставления субсидий местным бюджетам из областного бюджета.</w:t>
      </w:r>
    </w:p>
    <w:p w:rsidR="00AC5C15" w:rsidRDefault="00AC5C15">
      <w:pPr>
        <w:pStyle w:val="ConsPlusNormal"/>
      </w:pPr>
    </w:p>
    <w:p w:rsidR="00AC5C15" w:rsidRDefault="00AC5C15">
      <w:pPr>
        <w:pStyle w:val="ConsPlusNormal"/>
      </w:pPr>
    </w:p>
    <w:p w:rsidR="00165B10" w:rsidRDefault="00165B10"/>
    <w:sectPr w:rsidR="00165B10" w:rsidSect="003B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15"/>
    <w:rsid w:val="00165B10"/>
    <w:rsid w:val="00A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59BF3612E610B6E8CC7C86553600DF04D4129BE6B2D64B4C6ED76B936007FECE726A05C655A5D6CCBBE99F340CB7788DD689B981885FNFh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D059BF3612E610B6E8CC7C86553600DF04DC149FE3B2D64B4C6ED76B936007FECE726A05C45EA6D3CCBBE99F340CB7788DD689B981885FNFh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059BF3612E610B6E8D36D93553600DE06DE1795E2B2D64B4C6ED76B936007FECE726F05C55EA98096ABEDD66303AB7A96C88EA782N8h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D059BF3612E610B6E8D36D93553600DE06DE1795E2B2D64B4C6ED76B936007FECE726F05C55CA98096ABEDD66303AB7A96C88EA782N8h1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D059BF3612E610B6E8CC7C86553600DF04DC149FE3B2D64B4C6ED76B936007FECE726A05C45EA6D3CCBBE99F340CB7788DD689B981885FNF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2019-05-22T11:33:00Z</dcterms:created>
  <dcterms:modified xsi:type="dcterms:W3CDTF">2019-05-22T11:33:00Z</dcterms:modified>
</cp:coreProperties>
</file>