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Приложение 11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к государственной программе...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P7315"/>
      <w:bookmarkEnd w:id="0"/>
      <w:r w:rsidRPr="000B33A8">
        <w:rPr>
          <w:rFonts w:ascii="Times New Roman" w:eastAsiaTheme="minorEastAsia" w:hAnsi="Times New Roman" w:cs="Times New Roman"/>
          <w:b/>
          <w:lang w:eastAsia="ru-RU"/>
        </w:rPr>
        <w:t>ПОРЯДОК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 xml:space="preserve">ПРЕДОСТАВЛЕНИЯ И РАСПРЕДЕЛЕНИЯ СУБСИДИИ </w:t>
      </w:r>
      <w:proofErr w:type="gramStart"/>
      <w:r w:rsidRPr="000B33A8">
        <w:rPr>
          <w:rFonts w:ascii="Times New Roman" w:eastAsiaTheme="minorEastAsia" w:hAnsi="Times New Roman" w:cs="Times New Roman"/>
          <w:b/>
          <w:lang w:eastAsia="ru-RU"/>
        </w:rPr>
        <w:t>ИЗ</w:t>
      </w:r>
      <w:proofErr w:type="gramEnd"/>
      <w:r w:rsidRPr="000B33A8">
        <w:rPr>
          <w:rFonts w:ascii="Times New Roman" w:eastAsiaTheme="minorEastAsia" w:hAnsi="Times New Roman" w:cs="Times New Roman"/>
          <w:b/>
          <w:lang w:eastAsia="ru-RU"/>
        </w:rPr>
        <w:t xml:space="preserve"> ОБЛАСТНОГО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 xml:space="preserve">БЮДЖЕТА ЛЕНИНГРАДСКОЙ ОБЛАСТИ БЮДЖЕТАМ </w:t>
      </w:r>
      <w:proofErr w:type="gramStart"/>
      <w:r w:rsidRPr="000B33A8">
        <w:rPr>
          <w:rFonts w:ascii="Times New Roman" w:eastAsiaTheme="minorEastAsia" w:hAnsi="Times New Roman" w:cs="Times New Roman"/>
          <w:b/>
          <w:lang w:eastAsia="ru-RU"/>
        </w:rPr>
        <w:t>МУНИЦИПАЛЬНЫХ</w:t>
      </w:r>
      <w:proofErr w:type="gramEnd"/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ОБРАЗОВАНИЙ ЛЕНИНГРАДСКОЙ ОБЛАСТИ НА СТРОИТЕЛЬСТВО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И РЕКОНСТРУКЦИЮ АВТОМОБИЛЬНЫХ ДОРОГ ОБЩЕГО ПОЛЬЗОВАНИЯ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С ТВЕРДЫМ ПОКРЫТИЕМ, ВЕДУЩИХ ОТ СЕТИ АВТОМОБИЛЬНЫХ ДОРОГ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ОБЩЕГО ПОЛЬЗОВАНИЯ К ОБЩЕСТВЕННО ЗНАЧИМЫМ ОБЪЕКТАМ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НАСЕЛЕННЫХ ПУНКТОВ, РАСПОЛОЖЕННЫХ НА СЕЛЬСКИХ ТЕРРИТОРИЯХ,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ОБЪЕКТАМ ПРОИЗВОДСТВА И ПЕРЕРАБОТКИ ПРОДУКЦИИ В РАМКАХ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 xml:space="preserve">МЕРОПРИЯТИЙ, НАПРАВЛЕННЫХ НА ДОСТИЖЕНИЕ ЦЕЛИ </w:t>
      </w:r>
      <w:proofErr w:type="gramStart"/>
      <w:r w:rsidRPr="000B33A8">
        <w:rPr>
          <w:rFonts w:ascii="Times New Roman" w:eastAsiaTheme="minorEastAsia" w:hAnsi="Times New Roman" w:cs="Times New Roman"/>
          <w:b/>
          <w:lang w:eastAsia="ru-RU"/>
        </w:rPr>
        <w:t>ФЕДЕРАЛЬНОГО</w:t>
      </w:r>
      <w:proofErr w:type="gramEnd"/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ПРОЕКТА "РАЗВИТИЕ ТРАНСПОРТНОЙ ИНФРАСТРУКТУРЫ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НА СЕЛЬСКИХ ТЕРРИТОРИЯХ"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1. Общие положения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1.1.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Настоящий Порядок устанавливает цели, условия и порядок предоставления и распределения субсидии за счет средств дорожного фонда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в рамках мероприятий, направленных на достижение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цели федерального проекта "Развитие транспортной инфраструктуры на сельских территориях" (далее - субсидия, мероприятие).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дорожному хозяйству Ленинградской области (далее - ГРБС).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1.3.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 xml:space="preserve">Субсидия предоставляется на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софинансирование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расходных обязательств, возникающих при решении органами местного самоуправления вопросов местного значения, предусмотренных </w:t>
      </w:r>
      <w:hyperlink r:id="rId5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5 части 1 статьи 14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6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5 части 1 статьи 15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части осуществления дорожной деятельности в отношении автомобильных дорог местного значения.</w:t>
      </w:r>
      <w:proofErr w:type="gramEnd"/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В целях реализации настоящего Порядка используются следующие понятия: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w:anchor="P1383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перечень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которых установлен приложением 4 к государственной программе;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общественно значимые объекты -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>, пассажирские причалы на внутреннем водном транспорте и объекты торговли;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объекты агропромышленного комплекса - существующие или создаваемые на сельских территориях объекты капитального строительства, используемые или планируемые к использованию для производства, хранения и переработки сельскохозяйственной продукции, </w:t>
      </w:r>
      <w:r w:rsidRPr="000B33A8">
        <w:rPr>
          <w:rFonts w:ascii="Times New Roman" w:eastAsiaTheme="minorEastAsia" w:hAnsi="Times New Roman" w:cs="Times New Roman"/>
          <w:lang w:eastAsia="ru-RU"/>
        </w:rPr>
        <w:lastRenderedPageBreak/>
        <w:t xml:space="preserve">указанной в перечне, утвержденном Правительством Российской Федерации в соответствии с </w:t>
      </w:r>
      <w:hyperlink r:id="rId7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частью 1 статьи 3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Федерального закона "О развитии сельского хозяйства".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2. Цели и условия предоставления субсидии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7340"/>
      <w:bookmarkEnd w:id="1"/>
      <w:r w:rsidRPr="000B33A8">
        <w:rPr>
          <w:rFonts w:ascii="Times New Roman" w:eastAsiaTheme="minorEastAsia" w:hAnsi="Times New Roman" w:cs="Times New Roman"/>
          <w:lang w:eastAsia="ru-RU"/>
        </w:rPr>
        <w:t>2.1. Субсидия предоставляется бюджетам муниципальных образований Ленинградской области в целях приведения в нормативное состояние автомобильных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Субсидия предоставляется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на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>: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2" w:name="P7342"/>
      <w:bookmarkEnd w:id="2"/>
      <w:r w:rsidRPr="000B33A8">
        <w:rPr>
          <w:rFonts w:ascii="Times New Roman" w:eastAsiaTheme="minorEastAsia" w:hAnsi="Times New Roman" w:cs="Times New Roman"/>
          <w:lang w:eastAsia="ru-RU"/>
        </w:rPr>
        <w:t xml:space="preserve">а) строительство, реконструкцию (в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. проектно-изыскательские работы) автомобильных дорог общего пользования, ведущих от сети автомобильных дорог общего пользования к объектам, расположенным (планируемым к созданию) на сельских территориях, для обеспечения доступа к этим объектам автомобильного транспорта, а также к другим автомобильным дорогам общего пользования, при условии отнесения такой территории к территории, на которой реализуется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или) отобран к реализации проект комплексного развития сельских территорий,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утвержденный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протоколом заседания Комиссии по организации и проведению отбора проектов, оценке эффективности использования субсидий, формируемой в установленном порядке Министерством сельского хозяйства Российской Федерации;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P7343"/>
      <w:bookmarkEnd w:id="3"/>
      <w:r w:rsidRPr="000B33A8">
        <w:rPr>
          <w:rFonts w:ascii="Times New Roman" w:eastAsiaTheme="minorEastAsia" w:hAnsi="Times New Roman" w:cs="Times New Roman"/>
          <w:lang w:eastAsia="ru-RU"/>
        </w:rPr>
        <w:t>б) строительство, реконструкцию (в том числе проектно-изыскательские работы) автомобильных дорог общего пользования, ведущих от сети автомобильных дорог общего пользования к объектам агропромышленного комплекса, расположенным (планируемым к созданию) на сельских территориях, или к автомобильным дорогам общего пользования, для обеспечения доступа автомобильного транспорта к объектам агропромышленного комплекса;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P7344"/>
      <w:bookmarkEnd w:id="4"/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 xml:space="preserve">в) строительство, реконструкцию (в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. проектно-изыскательские работы) автомобильных дорог общего пользования, ведущих от сети автомобильных дорог общего пользования к объектам, расположенным (планируемым к созданию) на сельских территориях, или к автомобильным дорогам общего пользования, для обеспечения доступа автомобильного транспорта к объектам, расположенным (планируемым к созданию) на сельских территориях (за исключением автомобильных дорог, указанных в </w:t>
      </w:r>
      <w:hyperlink w:anchor="P7342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подпунктах "а"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7343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"б"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настоящего пункта).</w:t>
      </w:r>
      <w:proofErr w:type="gramEnd"/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2.2. Результатом использования субсидии является завершение работ по строительству, реконструкции автомобильных дорог общего пользования (км) или процент строительной готовности (для объектов строительства, реконструкции)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>или) наличие разработанной проектно-сметной документации (для объектов проектирования).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ГРБС и администрацией муниципального образования (далее - соглашение).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2.2. Субсидия предоставляется при соблюдении условий, установленных </w:t>
      </w:r>
      <w:hyperlink r:id="rId8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2.7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2.3. Критерием, которому должны соответствовать муниципальные образования для получения субсидии, является наличие объекта (объектов) муниципального образования в перечне объектов адресной инвестиционной программы Ленинградской области (далее - АИП).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 xml:space="preserve">Перечень объектов АИП формируется комитетом по агропромышленному и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рыбохозяйственному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комплексу Ленинградской области (далее - комитет) по итогам отбора объектов инвестиций комиссией при Правительстве Ленинградской области по бюджетным проектировкам (далее - комиссия по бюджетным проектировкам), проводимого в соответствии с </w:t>
      </w:r>
      <w:hyperlink r:id="rId9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Положением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о формировании и реализации адресной инвестиционной программы Ленинградской области, утвержденным постановлением Правительства Ленинградской области от 25 января 2019 года N 10 (далее - Положение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>), и утверждается в порядке, предусмотренном Положением.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Комитет формирует и утверждает рейтинг перспективных объектов инвестиций дорожной сети на сельских территориях (далее - рейтинг), который направляется ГРБС в составе сводных перечней объектов инвестиций в адрес Комитета финансов Ленинградской области для рассмотрения комиссией по бюджетным проектировкам.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На основании протокола заседания комиссии по бюджетным проектировкам ГРБС принимает решение о победителях отбора (получателях субсидии) посредством принятия соответствующего правового акта в течение двух рабочих дней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с даты подписания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протокола.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bookmarkStart w:id="5" w:name="P7353"/>
      <w:bookmarkEnd w:id="5"/>
      <w:r w:rsidRPr="000B33A8">
        <w:rPr>
          <w:rFonts w:ascii="Times New Roman" w:eastAsiaTheme="minorEastAsia" w:hAnsi="Times New Roman" w:cs="Times New Roman"/>
          <w:b/>
          <w:lang w:eastAsia="ru-RU"/>
        </w:rPr>
        <w:t>3. Отбор заявок муниципальных образований для включения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в рейтинг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3.1. В целях формирования рейтинга комитетом проводится отбор заявок муниципальных образований (далее - отбор).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3.2.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3.3.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>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Конкретные даты начала и окончания срока приема заявок указываются в извещении.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Комитет вправе перенести дату окончания срока приема заявок.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не позднее двух рабочих дней до даты окончания срока приема заявок.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6" w:name="P7362"/>
      <w:bookmarkEnd w:id="6"/>
      <w:r w:rsidRPr="000B33A8">
        <w:rPr>
          <w:rFonts w:ascii="Times New Roman" w:eastAsiaTheme="minorEastAsia" w:hAnsi="Times New Roman" w:cs="Times New Roman"/>
          <w:lang w:eastAsia="ru-RU"/>
        </w:rPr>
        <w:t>3.4. Муниципальное образование в срок, установленный в извещении, представляет в канцелярию комитета заявку по форме, утвержденной нормативным актом комитета, с приложением следующих документов: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 (для объектов строительства, реконструкции);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реконструкции, капитального ремонта объектов капитального строительства (для объектов строительства, реконструкции);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в) копии документов, подтверждающих право собственности на объект инвестиций, в том числе на объекты незавершенного строительства (для объектов строительства, реконструкции);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 xml:space="preserve">г)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софинансируемых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д) копия выписки из реестра муниципальной собственности (для объектов строительства, </w:t>
      </w:r>
      <w:r w:rsidRPr="000B33A8">
        <w:rPr>
          <w:rFonts w:ascii="Times New Roman" w:eastAsiaTheme="minorEastAsia" w:hAnsi="Times New Roman" w:cs="Times New Roman"/>
          <w:lang w:eastAsia="ru-RU"/>
        </w:rPr>
        <w:lastRenderedPageBreak/>
        <w:t>реконструкции);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е) копия сводного сметного расчета стоимости строительно-монтажных работ (для объектов строительства, реконструкции);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ж) расчет стоимости проектно-изыскательских работ и разработанное администрацией муниципального образования задание на проектирование (для объектов проектирования);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P7370"/>
      <w:bookmarkEnd w:id="7"/>
      <w:r w:rsidRPr="000B33A8">
        <w:rPr>
          <w:rFonts w:ascii="Times New Roman" w:eastAsiaTheme="minorEastAsia" w:hAnsi="Times New Roman" w:cs="Times New Roman"/>
          <w:lang w:eastAsia="ru-RU"/>
        </w:rPr>
        <w:t xml:space="preserve">з) копия технико-экономического </w:t>
      </w:r>
      <w:hyperlink r:id="rId10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обоснования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необходимости строительства (реконструкции) объекта инвестиций по форме согласно приложению 4 к Положению, согласованного комитетом и ГРБС, с приложением заключения Комитета экономического развития и инвестиционной деятельности Ленинградской области;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8" w:name="P7371"/>
      <w:bookmarkEnd w:id="8"/>
      <w:r w:rsidRPr="000B33A8">
        <w:rPr>
          <w:rFonts w:ascii="Times New Roman" w:eastAsiaTheme="minorEastAsia" w:hAnsi="Times New Roman" w:cs="Times New Roman"/>
          <w:lang w:eastAsia="ru-RU"/>
        </w:rPr>
        <w:t>и) обоснование (расчет) влияния ввода в эксплуатацию объекта на индикаторы государственной программы;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к) расчет ежегодных эксплуатационных расходов и расходов на материально-техническое обеспечение объекта инвестиций после его ввода в эксплуатацию;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л) карта-схема расположения объектов строительства (реконструкции) автомобильных дорог с географической привязкой к общественно значимым объектам сельских населенных пунктов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>или) объектам производства и переработки продукции;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м) копия акта об утверждении проектной документации с указанием стоимости и основных характеристик объектов строительства (реконструкции) автомобильных дорог (для объектов строительства и реконструкции);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н) письменное подтверждение нахождения (планируемого создания) автомобильной дороги на соответствующей сельской территории, на которой согласно соответствующим протоколам заседаний Комиссии по организации и проведению отбора проектов, оценке эффективности использования субсидий, формируемой в установленном порядке Министерством сельского хозяйства Российской Федерации, реализуются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или) планируются к реализации проекты комплексного развития наличие (в отношении объекта, указанного в </w:t>
      </w:r>
      <w:hyperlink w:anchor="P7342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подпункте "а" пункта 2.1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настоящего Порядка);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о) 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(реконструкции) соответствующей автомобильной дороги, а также документа о привлечении средств из внебюджетных источников (в отношении объекта, указанного в </w:t>
      </w:r>
      <w:hyperlink w:anchor="P7340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2.1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настоящего Порядка);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п) документ, подтверждающий по состоянию на 1 января года подачи заявки численность населения, постоянно проживающего на территории строительства (реконструкции) соответствующей автомобильной дороги (в отношении объекта, указанного в </w:t>
      </w:r>
      <w:hyperlink w:anchor="P7344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подпункте "в" пункта 2.1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настоящего Порядка).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3.5. Заявка и прилагаемые к ней документы должны быть подписаны (заверены) главой администрации муниципального образования или уполномоченным им лицом.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Исправления в документах, прилагаемых к заявке, не допускаются.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Прилагаемые к заявке документы могут быть представлены на электронном носителе в случае их подписания квалифицированной электронной подписью.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3.6. Комитет проводит предварительное рассмотрение заявки муниципального образования в течение 10 рабочих дней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с даты представления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в комитет.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lastRenderedPageBreak/>
        <w:t>Основаниями для отклонения заявки являются: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непредставление или представление не в полном объеме документов, указанных в </w:t>
      </w:r>
      <w:hyperlink w:anchor="P7362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пункте 3.4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настоящего Порядка;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подача заявки с нарушением срока, установленного в извещении.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3.7.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3.8.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Заявка считается отозванной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с даты получения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комитетом соответствующего письменного уведомления.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3.9.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В течение 15 рабочих дней со дня, следующего за днем окончания приема заявок, указанным в извещении, комитет осуществляет оценку заявок муниципальных образований в соответствии с Методикой формирования рейтингов перспективных объектов инвестиций, утвержденной нормативным актом комитета, и направляет на рассмотрение межведомственной комиссии по обеспечению комплексного развития сельских территорий Ленинградской области (далее - комиссия), образованной распоряжением Губернатора Ленинградской области от 14 марта 2013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года N 181-рг, результаты оценки и ранжирования объектов в виде проекта рейтинга.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3.10. Заседание комиссии проводится не позднее 20-го рабочего дня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с даты окончания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приема заявок.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3.11. Комиссия принимает следующие решения: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о результатах расчета оценочных баллов;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о позиции объектов в проекте рейтинга.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3.12. Решение комиссии оформляется протоколом в течение двух рабочих дней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с даты проведения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заседания межведомственной комиссии.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3.13. В течение пяти рабочих дней с даты подписания протокола заседания комиссии комитет утверждает рейтинг правовым актом комитета и размещает на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в целях уведомления муниципальных образований о результатах отбора.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3.14. Муниципальным образованием может быть направлено возражение на решение комиссии (далее - возражение) в течение пяти рабочих дней с даты опубликования рейтинга на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интернет-портале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>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Возражение подлежит рассмотрению в течение пяти рабочих дней со дня его регистрации путем проведения заседания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3.15. Комитет направляет утвержденный рейтинг в адрес ГРБС с приложением копий </w:t>
      </w:r>
      <w:r w:rsidRPr="000B33A8">
        <w:rPr>
          <w:rFonts w:ascii="Times New Roman" w:eastAsiaTheme="minorEastAsia" w:hAnsi="Times New Roman" w:cs="Times New Roman"/>
          <w:lang w:eastAsia="ru-RU"/>
        </w:rPr>
        <w:lastRenderedPageBreak/>
        <w:t xml:space="preserve">документов, предусмотренных </w:t>
      </w:r>
      <w:hyperlink w:anchor="P7370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подпунктами "з"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w:anchor="P7371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"и" пункта 3.4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настоящего Порядка, для дальнейшего рассмотрения комиссией по бюджетным проектировкам.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3.16. Внесение изменений в утвержденный рейтинг осуществляется на основании дополнительного приема заявок от муниципальных образований, проводимого в соответствии с </w:t>
      </w:r>
      <w:hyperlink w:anchor="P7353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разделом 3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4. Методика распределения субсидии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4.1. Распределение субсидии осуществляется исходя из заявок муниципальных образований в соответствии с перечнем объектов АИП по формуле: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0B33A8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spellEnd"/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=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ЗС</w:t>
      </w:r>
      <w:r w:rsidRPr="000B33A8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x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УС</w:t>
      </w:r>
      <w:r w:rsidRPr="000B33A8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>,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где: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- объем субсидии бюджету i-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ЗСi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- плановый общий объем расходов на исполнение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софинансируемых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обязательств в соответствии с заявкой (заявками) i-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УС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- предельный уровень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софинансирования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для i-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образования.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Предельный уровень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софинансирования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для i-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 определяется в порядке, предусмотренном разделом 6 Правил.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Не менее 5 процентов общего объема расходов реализации мероприятий, предусмотренных в </w:t>
      </w:r>
      <w:hyperlink w:anchor="P7343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подпункте "б" пункта 2.1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настоящего Порядка, должно быть обеспечено за счет средств внебюджетных источников.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4.2. Распределение субсидии утверждается постановлением Правительства Ленинградской области в сроки, установленные </w:t>
      </w:r>
      <w:hyperlink r:id="rId11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пунктами 3.2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12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3.6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4.3. Утвержденный для муниципального образования объем субсидии может быть пересмотрен: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а) при отказе муниципального образования от заключения соглашения;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б) при наличии экономии бюджетных средств по результатам проведения конкурсных процедур;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в) при уточнении планового объема расходов на исполнение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софинансируемых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обязательств по итогам заключения муниципальных контрактов на поставку товаров, выполнение работ, оказание услуг;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г) при распределении нераспределенного объема субсидии.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5. Порядок предоставления и расходования субсидии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5.1. Предоставление субсидии осуществляется на основании соглашений о предоставлении субсидии,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3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4.2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Правил, и в сроки, установленные </w:t>
      </w:r>
      <w:hyperlink r:id="rId14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4.3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5.2. Муниципальное образование при заключении соглашения представляет ГРБС документы в соответствии с </w:t>
      </w:r>
      <w:hyperlink r:id="rId15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4.4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lastRenderedPageBreak/>
        <w:t>5.3. Перечисление субсидии осуществляется ГРБС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ГРБС платежный документ с одновременным представлением документов, подтверждающих потребность в осуществлении расходов.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ГРБС не позднее 7-го рабочего дня </w:t>
      </w: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с даты поступления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оформленного надлежащим образом платежного документа.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6. Меры финансовой ответственности, применяемые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к муниципальному образованию при невыполнении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B33A8">
        <w:rPr>
          <w:rFonts w:ascii="Times New Roman" w:eastAsiaTheme="minorEastAsia" w:hAnsi="Times New Roman" w:cs="Times New Roman"/>
          <w:b/>
          <w:lang w:eastAsia="ru-RU"/>
        </w:rPr>
        <w:t>им условий соглашения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0B33A8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0B33A8">
        <w:rPr>
          <w:rFonts w:ascii="Times New Roman" w:eastAsiaTheme="minorEastAsia" w:hAnsi="Times New Roman" w:cs="Times New Roman"/>
          <w:lang w:eastAsia="ru-RU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0B33A8" w:rsidRPr="000B33A8" w:rsidRDefault="000B33A8" w:rsidP="000B33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B33A8">
        <w:rPr>
          <w:rFonts w:ascii="Times New Roman" w:eastAsiaTheme="minorEastAsia" w:hAnsi="Times New Roman" w:cs="Times New Roman"/>
          <w:lang w:eastAsia="ru-RU"/>
        </w:rPr>
        <w:t xml:space="preserve">6.3. В случае </w:t>
      </w:r>
      <w:proofErr w:type="spellStart"/>
      <w:r w:rsidRPr="000B33A8">
        <w:rPr>
          <w:rFonts w:ascii="Times New Roman" w:eastAsiaTheme="minorEastAsia" w:hAnsi="Times New Roman" w:cs="Times New Roman"/>
          <w:lang w:eastAsia="ru-RU"/>
        </w:rPr>
        <w:t>недостижения</w:t>
      </w:r>
      <w:proofErr w:type="spellEnd"/>
      <w:r w:rsidRPr="000B33A8">
        <w:rPr>
          <w:rFonts w:ascii="Times New Roman" w:eastAsiaTheme="minorEastAsia" w:hAnsi="Times New Roman" w:cs="Times New Roman"/>
          <w:lang w:eastAsia="ru-RU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6">
        <w:r w:rsidRPr="000B33A8">
          <w:rPr>
            <w:rFonts w:ascii="Times New Roman" w:eastAsiaTheme="minorEastAsia" w:hAnsi="Times New Roman" w:cs="Times New Roman"/>
            <w:color w:val="0000FF"/>
            <w:lang w:eastAsia="ru-RU"/>
          </w:rPr>
          <w:t>разделом 5</w:t>
        </w:r>
      </w:hyperlink>
      <w:r w:rsidRPr="000B33A8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B33A8" w:rsidRPr="000B33A8" w:rsidRDefault="000B33A8" w:rsidP="000B33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C4967" w:rsidRPr="000B33A8" w:rsidRDefault="00AC4967" w:rsidP="000B33A8">
      <w:bookmarkStart w:id="9" w:name="_GoBack"/>
      <w:bookmarkEnd w:id="9"/>
    </w:p>
    <w:sectPr w:rsidR="00AC4967" w:rsidRPr="000B33A8" w:rsidSect="00FF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0B33A8"/>
    <w:rsid w:val="00240F07"/>
    <w:rsid w:val="0053738C"/>
    <w:rsid w:val="005522FA"/>
    <w:rsid w:val="0060129D"/>
    <w:rsid w:val="00800B9C"/>
    <w:rsid w:val="00AC4967"/>
    <w:rsid w:val="00B43DBC"/>
    <w:rsid w:val="00C502C0"/>
    <w:rsid w:val="00CA3D88"/>
    <w:rsid w:val="00D37F0F"/>
    <w:rsid w:val="00D408B1"/>
    <w:rsid w:val="00DC2CAE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7E3B3E67B462A9E1F266490B9E6C202AFD881B501E8BE245E4666B0BBA311C3D95E4172A5B72C16F40B689CDEE9AZDaEJ" TargetMode="External"/><Relationship Id="rId13" Type="http://schemas.openxmlformats.org/officeDocument/2006/relationships/hyperlink" Target="consultantplus://offline/ref=ECA919EED04B3DC696077E3B3E67B462A9E1F266490B9E6C202AFD881B501E8BE245E4666B0BBB37163D95E4172A5B72C16F40B689CDEE9AZDa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919EED04B3DC69607612A2B67B462AFE7F360480C9E6C202AFD881B501E8BE245E4616900EA645163CCB451615672DD7340B5Z9a4J" TargetMode="External"/><Relationship Id="rId12" Type="http://schemas.openxmlformats.org/officeDocument/2006/relationships/hyperlink" Target="consultantplus://offline/ref=ECA919EED04B3DC696077E3B3E67B462A9E1F266490B9E6C202AFD881B501E8BE245E4666B0BB836103D95E4172A5B72C16F40B689CDEE9AZDaE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A919EED04B3DC696077E3B3E67B462A9E1F266490B9E6C202AFD881B501E8BE245E4666B0BBB31123D95E4172A5B72C16F40B689CDEE9AZDa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FE5F1624C0B9E6C202AFD881B501E8BE245E46E6203B561447294B8527D4873C26F42B795ZCaCJ" TargetMode="External"/><Relationship Id="rId11" Type="http://schemas.openxmlformats.org/officeDocument/2006/relationships/hyperlink" Target="consultantplus://offline/ref=ECA919EED04B3DC696077E3B3E67B462A9E1F266490B9E6C202AFD881B501E8BE245E4666B0BB836113D95E4172A5B72C16F40B689CDEE9AZDaEJ" TargetMode="External"/><Relationship Id="rId5" Type="http://schemas.openxmlformats.org/officeDocument/2006/relationships/hyperlink" Target="consultantplus://offline/ref=ECA919EED04B3DC69607612A2B67B462AFE5F1624C0B9E6C202AFD881B501E8BE245E46E620EB561447294B8527D4873C26F42B795ZCaCJ" TargetMode="External"/><Relationship Id="rId15" Type="http://schemas.openxmlformats.org/officeDocument/2006/relationships/hyperlink" Target="consultantplus://offline/ref=ECA919EED04B3DC696077E3B3E67B462A9E1F266490B9E6C202AFD881B501E8BE245E4666B0BBB361D3D95E4172A5B72C16F40B689CDEE9AZDaEJ" TargetMode="External"/><Relationship Id="rId10" Type="http://schemas.openxmlformats.org/officeDocument/2006/relationships/hyperlink" Target="consultantplus://offline/ref=ECA919EED04B3DC696077E3B3E67B462A9E3F168490D9E6C202AFD881B501E8BE245E4666B0BBC35153D95E4172A5B72C16F40B689CDEE9AZD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919EED04B3DC696077E3B3E67B462A9E3F168490D9E6C202AFD881B501E8BE245E4666B0BBE37173D95E4172A5B72C16F40B689CDEE9AZDaEJ" TargetMode="External"/><Relationship Id="rId14" Type="http://schemas.openxmlformats.org/officeDocument/2006/relationships/hyperlink" Target="consultantplus://offline/ref=ECA919EED04B3DC696077E3B3E67B462A9E1F266490B9E6C202AFD881B501E8BE245E4666B0BB831143D95E4172A5B72C16F40B689CDEE9AZD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2023-01-12T09:32:00Z</dcterms:created>
  <dcterms:modified xsi:type="dcterms:W3CDTF">2023-01-12T09:32:00Z</dcterms:modified>
</cp:coreProperties>
</file>