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Приложение 13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 государственной программе...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P7573"/>
      <w:bookmarkEnd w:id="0"/>
      <w:r w:rsidRPr="00D20F74">
        <w:rPr>
          <w:rFonts w:ascii="Times New Roman" w:eastAsiaTheme="minorEastAsia" w:hAnsi="Times New Roman" w:cs="Times New Roman"/>
          <w:b/>
          <w:lang w:eastAsia="ru-RU"/>
        </w:rPr>
        <w:t>ПОРЯДОК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 xml:space="preserve">ПРЕДОСТАВЛЕНИЯ И РАСПРЕДЕЛЕНИЯ СУБСИДИИ </w:t>
      </w:r>
      <w:proofErr w:type="gramStart"/>
      <w:r w:rsidRPr="00D20F74">
        <w:rPr>
          <w:rFonts w:ascii="Times New Roman" w:eastAsiaTheme="minorEastAsia" w:hAnsi="Times New Roman" w:cs="Times New Roman"/>
          <w:b/>
          <w:lang w:eastAsia="ru-RU"/>
        </w:rPr>
        <w:t>ИЗ</w:t>
      </w:r>
      <w:proofErr w:type="gramEnd"/>
      <w:r w:rsidRPr="00D20F74">
        <w:rPr>
          <w:rFonts w:ascii="Times New Roman" w:eastAsiaTheme="minorEastAsia" w:hAnsi="Times New Roman" w:cs="Times New Roman"/>
          <w:b/>
          <w:lang w:eastAsia="ru-RU"/>
        </w:rPr>
        <w:t xml:space="preserve"> ОБЛАСТНОГО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 xml:space="preserve">БЮДЖЕТА ЛЕНИНГРАДСКОЙ ОБЛАСТИ БЮДЖЕТАМ </w:t>
      </w:r>
      <w:proofErr w:type="gramStart"/>
      <w:r w:rsidRPr="00D20F74">
        <w:rPr>
          <w:rFonts w:ascii="Times New Roman" w:eastAsiaTheme="minorEastAsia" w:hAnsi="Times New Roman" w:cs="Times New Roman"/>
          <w:b/>
          <w:lang w:eastAsia="ru-RU"/>
        </w:rPr>
        <w:t>МУНИЦИПАЛЬНЫХ</w:t>
      </w:r>
      <w:proofErr w:type="gramEnd"/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ОБРАЗОВАНИЙ ЛЕНИНГРАДСКОЙ ОБЛАСТИ НА БЛАГОУСТРОЙСТВО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СЕЛЬСКИХ ТЕРРИТОРИЙ В РАМКАХ РЕАЛИЗАЦИИ МЕРОПРИЯТИЙ,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 w:rsidRPr="00D20F74">
        <w:rPr>
          <w:rFonts w:ascii="Times New Roman" w:eastAsiaTheme="minorEastAsia" w:hAnsi="Times New Roman" w:cs="Times New Roman"/>
          <w:b/>
          <w:lang w:eastAsia="ru-RU"/>
        </w:rPr>
        <w:t>НАПРАВЛЕННЫХ</w:t>
      </w:r>
      <w:proofErr w:type="gramEnd"/>
      <w:r w:rsidRPr="00D20F74">
        <w:rPr>
          <w:rFonts w:ascii="Times New Roman" w:eastAsiaTheme="minorEastAsia" w:hAnsi="Times New Roman" w:cs="Times New Roman"/>
          <w:b/>
          <w:lang w:eastAsia="ru-RU"/>
        </w:rPr>
        <w:t xml:space="preserve"> НА ДОСТИЖЕНИЕ ЦЕЛИ ФЕДЕРАЛЬНОГО ПРОЕКТА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"БЛАГОУСТРОЙСТВО СЕЛЬСКИХ ТЕРРИТОРИЙ"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1. Общие положения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на благоустройство сельских территорий в рамках реализации мероприятий, направленных на достижение цели федерального проекта "Благоустройство сельских территорий" (далее - субсидия).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1.2. 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9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6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19 части 1 статьи 14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рыбохозяйственному комплексу Ленинградской области (далее - комитет).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1.4. В целях реализации настоящего Порядка используются следующие понятия: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общественно значимый проект по благоустройству сельских территорий - комплекс мероприятий, направленных на благоустройство сельских территорий, реализуемых с участием граждан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или) юридических лиц (индивидуальных предпринимателей) и осуществляемых для достижения целей по направлениям, указанным в </w:t>
      </w:r>
      <w:hyperlink w:anchor="P7595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пункте 2.2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1383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перечень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которых установлен приложением 4 к государственной программе;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переходящий проект - общественно значимый проект по благоустройству сельских территорий,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 xml:space="preserve">2. Цели и условия предоставления субсидии </w:t>
      </w:r>
      <w:proofErr w:type="gramStart"/>
      <w:r w:rsidRPr="00D20F74">
        <w:rPr>
          <w:rFonts w:ascii="Times New Roman" w:eastAsiaTheme="minorEastAsia" w:hAnsi="Times New Roman" w:cs="Times New Roman"/>
          <w:b/>
          <w:lang w:eastAsia="ru-RU"/>
        </w:rPr>
        <w:t>муниципальным</w:t>
      </w:r>
      <w:proofErr w:type="gramEnd"/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образованиям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2.1. Субсидия предоставляется в целях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обеспечения повышения уровня благоустройства сельских территорий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7595"/>
      <w:bookmarkEnd w:id="1"/>
      <w:r w:rsidRPr="00D20F74">
        <w:rPr>
          <w:rFonts w:ascii="Times New Roman" w:eastAsiaTheme="minorEastAsia" w:hAnsi="Times New Roman" w:cs="Times New Roman"/>
          <w:lang w:eastAsia="ru-RU"/>
        </w:rPr>
        <w:t>2.2. Субсидия предоставляется по следующим направлениям: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lastRenderedPageBreak/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организация пешеходных коммуникаций, в том числе тротуаров, аллей, велосипедных дорожек, тропинок;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организация ливневых стоков;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обустройство общественных колодцев и водоразборных колонок;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сохранение и восстановление природных ландшафтов и историко-культурных памятников;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создание и обустройство источников наружного противопожарного водоснабжения;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создание и обустройство мест автомобильных и велосипедных парковок;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ремонтно-восстановительные работы улично-дорожной сети и дворовых проездов;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Элементы благоустройства и виды работ, включаемые в общественно значимые проекты по благоустройству сельских территорий, определяются правовым актом комитета.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Один общественно значимый проект по благоустройству сельских территорий может быть реализован по нескольким направлениям.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2.3. Результатом использования субсидии является количество реализованных общественно значимых проектов по благоустройству сельских территорий.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2.4. Субсидия предоставляется при соблюдении условий, установленных </w:t>
      </w:r>
      <w:hyperlink r:id="rId7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2.7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bookmarkStart w:id="2" w:name="P7613"/>
      <w:bookmarkEnd w:id="2"/>
      <w:r w:rsidRPr="00D20F74">
        <w:rPr>
          <w:rFonts w:ascii="Times New Roman" w:eastAsiaTheme="minorEastAsia" w:hAnsi="Times New Roman" w:cs="Times New Roman"/>
          <w:b/>
          <w:lang w:eastAsia="ru-RU"/>
        </w:rPr>
        <w:t>3. Порядок и критерии отбора муниципальных образований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для предоставления субсидии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Персональный состав комиссии и положение о комиссии утверждаются правовым актом комитета.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lastRenderedPageBreak/>
        <w:t>3.3. Критериями отбора муниципальных образований для допуска к оценке заявок являются: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отнесение территории муниципального образования, на которой планируется к реализации общественно значимый проект по благоустройству сельских территорий, к сельским территориям;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наличие подтвержденного вклада граждан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в различных формах (денежные средства, трудовое участие, предоставление помещений и технических средств и т.д.).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3.4.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Извещение содержит следующие сведения: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форму заявки;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место и время приема заявки;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срок приема заявки;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перечень документов, прилагаемых к заявке;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информация о планируемом сроке рассмотрения заявок;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контактное лицо для разъяснения вопросов по подготовке и подаче заявки и прилагаемых к ней документов.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Конкретные даты начала и окончания срока приема заявок указываются в извещении.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Комитет вправе перенести дату окончания срока приема заявок.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не позднее двух рабочих дней до даты окончания срока приема заявок.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P7635"/>
      <w:bookmarkEnd w:id="3"/>
      <w:r w:rsidRPr="00D20F74">
        <w:rPr>
          <w:rFonts w:ascii="Times New Roman" w:eastAsiaTheme="minorEastAsia" w:hAnsi="Times New Roman" w:cs="Times New Roman"/>
          <w:lang w:eastAsia="ru-RU"/>
        </w:rPr>
        <w:t>3.6. Муниципальные образования в срок, установленный в извещении,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списки граждан, подтвердивших участие в реализации общественно значимого проекта по </w:t>
      </w:r>
      <w:r w:rsidRPr="00D20F74">
        <w:rPr>
          <w:rFonts w:ascii="Times New Roman" w:eastAsiaTheme="minorEastAsia" w:hAnsi="Times New Roman" w:cs="Times New Roman"/>
          <w:lang w:eastAsia="ru-RU"/>
        </w:rPr>
        <w:lastRenderedPageBreak/>
        <w:t>благоустройству сельских территорий (при условии наличия вклада граждан в реализацию общественно значимого проекта по благоустройству сельских территорий);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гарантийные письма юридических лиц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или) индивидуальных предпринимателей, подтверждающих их участие в реализации общественно значимого проекта по благоустройству сельских территорий (при условии наличия вклада юридических лиц и(или) индивидуальных предпринимателей в реализацию общественно значимого проекта по благоустройству сельских территорий);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утвержденный дизайн-проект общественного значимого проекта по благоустройству сельской территории, содержащий текстовое и визуальное описание предлагаемого проекта. Текстовая часть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дизайн-проекта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должна содержать: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описание проблемы и обоснование ее актуальности для сообщества;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характеристику существующей ситуации, на решение которой направлен проект, включая сведения о текущем состоянии благоустраиваемой территории;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площадь территории и информацию о собственниках и границах земельных участков, формирующих территорию под благоустройство;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обоснование необходимости выполнения данного проекта (актуальность), его общественную значимость;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круг людей, которых касается решаемая проблема; ожидаемые результаты, которых планируется достичь в ходе реализации проекта;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дальнейшее развитие проекта;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гарантийное письмо администрации муниципального образования, подтверждающее наличие механизма содержания и эксплуатации объекта, а также соответствие проекта нормам безопасности и законодательству Российской Федерации.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Форма заявки утверждается правовым актом комитета.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Копии документов, прилагаемых к заявке, заверяются в установленном порядке.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Исправления в документах, прилагаемых к заявке, не допускаются.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7652"/>
      <w:bookmarkEnd w:id="4"/>
      <w:r w:rsidRPr="00D20F74">
        <w:rPr>
          <w:rFonts w:ascii="Times New Roman" w:eastAsiaTheme="minorEastAsia" w:hAnsi="Times New Roman" w:cs="Times New Roman"/>
          <w:lang w:eastAsia="ru-RU"/>
        </w:rPr>
        <w:t xml:space="preserve">3.7. В течение пяти рабочих дней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 даты регистрации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оформлению, установленным </w:t>
      </w:r>
      <w:hyperlink w:anchor="P7635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3.6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3.8. Заявка муниципального образования считается принятой к рассмотрению в случае соответствия требованиям, установленным </w:t>
      </w:r>
      <w:hyperlink w:anchor="P7635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3.6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3.9. Комитет в срок, установленный в </w:t>
      </w:r>
      <w:hyperlink w:anchor="P7652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3.7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В случае несоответствия заявки муниципального образования требованиям, установленным </w:t>
      </w:r>
      <w:hyperlink w:anchor="P7635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3.6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Порядка, в адрес муниципального образования направляется мотивированный отказ (уведомление) о принятии заявки к рассмотрению.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</w:t>
      </w:r>
      <w:r w:rsidRPr="00D20F74">
        <w:rPr>
          <w:rFonts w:ascii="Times New Roman" w:eastAsiaTheme="minorEastAsia" w:hAnsi="Times New Roman" w:cs="Times New Roman"/>
          <w:lang w:eastAsia="ru-RU"/>
        </w:rPr>
        <w:lastRenderedPageBreak/>
        <w:t>приема заявок.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3.11.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Заявка считается отозванной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 даты получения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комитетом соответствующего письменного уведомления.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58"/>
        <w:gridCol w:w="1474"/>
        <w:gridCol w:w="1474"/>
      </w:tblGrid>
      <w:tr w:rsidR="00D20F74" w:rsidRPr="00D20F74" w:rsidTr="00FC4ED2">
        <w:tc>
          <w:tcPr>
            <w:tcW w:w="2665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Значение критерия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Балльная оценка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Весовой коэффициент критерия</w:t>
            </w:r>
          </w:p>
        </w:tc>
      </w:tr>
      <w:tr w:rsidR="00D20F74" w:rsidRPr="00D20F74" w:rsidTr="00FC4ED2">
        <w:tc>
          <w:tcPr>
            <w:tcW w:w="2665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D20F74" w:rsidRPr="00D20F74" w:rsidTr="00FC4ED2">
        <w:tc>
          <w:tcPr>
            <w:tcW w:w="2665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Критерий 1. 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Численность населения менее 500 человек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Численность населения от 500 человек, но менее 1000 человек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3 балла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Численность населения от 1000 человек, но менее 2000 человек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5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Численность населения от 2000 человек и более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7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Критерий 2. Длительность реализации общественно значимого проекта по благоустройству сельских территорий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Длительность реализации проекта менее одного года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10 баллов</w:t>
            </w:r>
          </w:p>
        </w:tc>
        <w:tc>
          <w:tcPr>
            <w:tcW w:w="1474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Длительность реализации проекта от одного года до двух лет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7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Длительность реализации проекта более двух лет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5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Критерий 3. Доля участия граждан в реализации общественно значимого проекта по благоустройству сельских территорий в общей стоимости проекта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Доля участия граждан менее 5%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Доля участия граждан от 5 до 7% включительно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3 балла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Доля участия граждан от 7 до 10% включительно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5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Доля участия граждан более 10%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7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 xml:space="preserve">Критерий 4. Доля участия юридических лиц (индивидуальных предпринимателей) в реализации общественно значимого проекта по благоустройству сельских </w:t>
            </w: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территорий в общей стоимости проекта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Доля участия юридических лиц менее 5%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Доля участия юридических лиц от 5 до 7% включительно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3 балла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Доля участия юридических лиц от 7 до 10% включительно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5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Доля участия юридических лиц более 10%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7 баллов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Критерий 5. Реализация общественно значимого проекта по благоустройству в населенном пункте, на территории которого реализуется (реализован) проект комплексного развития сельских территорий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Общественно значимый проект по благоустройству реализуется в населенном пункте, на территории которого реализуется (реализован) проект комплексного развития сельских территорий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10 баллов</w:t>
            </w:r>
          </w:p>
        </w:tc>
        <w:tc>
          <w:tcPr>
            <w:tcW w:w="1474" w:type="dxa"/>
            <w:vMerge w:val="restart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D20F74" w:rsidRPr="00D20F74" w:rsidTr="00FC4ED2">
        <w:tc>
          <w:tcPr>
            <w:tcW w:w="2665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Общественно значимый проект по благоустройству реализуется в населенном пункте, на территории которого не реализуется (не реализован) проект комплексного развития сельских территорий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 балл</w:t>
            </w:r>
          </w:p>
        </w:tc>
        <w:tc>
          <w:tcPr>
            <w:tcW w:w="1474" w:type="dxa"/>
            <w:vMerge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0F74" w:rsidRPr="00D20F74" w:rsidTr="00FC4ED2">
        <w:tc>
          <w:tcPr>
            <w:tcW w:w="2665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Критерий 6. Наличие комплексного подхода к включению элементов благоустройства в состав общественно значимого проекта по благоустройству</w:t>
            </w:r>
          </w:p>
        </w:tc>
        <w:tc>
          <w:tcPr>
            <w:tcW w:w="3458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Озеленение: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детские площадки (с наличием различных функциональных зон);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спортивные площадки (с наличием различных функциональных зон);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спортивный инвентарь: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тренажер, параллельные брусья, турник, шведская стенка;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велосипедные дорожки и велопарковки;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площадки для выгула собак;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инфраструктура для обеспечения доступности для маломобильных групп населения с учетом создания безбарьерной среды для маломобильных граждан;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инклюзивные спортивно-игровые площадки, предназначенные для совместных игр здоровых детей и детей с ограниченными возможностями здоровья, инклюзивные спортивные площадки, предназначенные для занятий физкультурой и спортом людьми с ограниченными возможностями здоровья;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площадки для отдыха людей старшего возраста;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малые архитектурные формы;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пандусы;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беседки;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террасы;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пешеходные дорожки;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тротуары;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освещение (осветительное оборудование);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скамьи;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урны;</w:t>
            </w:r>
          </w:p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мероприятия по организации ливневых стоков, общественных </w:t>
            </w: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колодцев, водоразборных колонок, источников наружного противопожарного водоснабжения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 балл за наличие в составе общественно значимого проекта по благоустройству каждого из элементов</w:t>
            </w:r>
          </w:p>
        </w:tc>
        <w:tc>
          <w:tcPr>
            <w:tcW w:w="1474" w:type="dxa"/>
          </w:tcPr>
          <w:p w:rsidR="00D20F74" w:rsidRPr="00D20F74" w:rsidRDefault="00D20F74" w:rsidP="00D2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F7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Значение критерия определяется в соответствии с заявкой муниципального образования.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3.13. Расчет сводной оценки заявки муниципального образования определяется по формуле: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noProof/>
          <w:position w:val="-11"/>
          <w:lang w:eastAsia="ru-RU"/>
        </w:rPr>
        <w:drawing>
          <wp:inline distT="0" distB="0" distL="0" distR="0" wp14:anchorId="12416FDA" wp14:editId="736CC3BA">
            <wp:extent cx="1268095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где: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СО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сводная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оценка заявки муниципального образования;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i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- балльная оценка заявки муниципального образования по i-му критерию;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ВК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i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- весовой коэффициент для i-го критерия.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3.14. Комиссия принимает решение о результатах оценки заявок муниципальных образований.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Перечень заявок муниципальных образований по итогам оценки заявок формируется в порядке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убывания количества баллов сводной оценки заявки муниципального образования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При проведении отбора в целях предоставления субсидии в текущем финансовом году 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образований, за вычетом распределенного объема субсидии (в том числе предусмотренного на софинансирование переходящих проектов).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При проведении отбора на очередной финансовый год и плановый период победителями отбора признаются все муниципальные образования, включенные в перечень заявок по итогам оценки заявок.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Получателями субсидии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Количество получателей субсидии определяется исходя из объема субсидии, предусмотренного в областном бюджете Ленинградской области на очередной финансовый год и на плановый период на софинансирование соответствующих расходных обязательств муниципальных образований, за вычетом объема субсидии, предусмотренного на софинансирование переходящих проектов.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P7755"/>
      <w:bookmarkEnd w:id="5"/>
      <w:r w:rsidRPr="00D20F74">
        <w:rPr>
          <w:rFonts w:ascii="Times New Roman" w:eastAsiaTheme="minorEastAsia" w:hAnsi="Times New Roman" w:cs="Times New Roman"/>
          <w:lang w:eastAsia="ru-RU"/>
        </w:rPr>
        <w:t xml:space="preserve">3.15.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 даты проведения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заседания комиссии.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P7756"/>
      <w:bookmarkEnd w:id="6"/>
      <w:r w:rsidRPr="00D20F74">
        <w:rPr>
          <w:rFonts w:ascii="Times New Roman" w:eastAsiaTheme="minorEastAsia" w:hAnsi="Times New Roman" w:cs="Times New Roman"/>
          <w:lang w:eastAsia="ru-RU"/>
        </w:rPr>
        <w:t xml:space="preserve">3.16. Комитет на основании протокола, указанного в </w:t>
      </w:r>
      <w:hyperlink w:anchor="P7755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3.15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 даты оформления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протокола посредством принятия соответствующего правового акта комитета.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lastRenderedPageBreak/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в течение пяти рабочих дней с даты принятия правового акта, указанного в </w:t>
      </w:r>
      <w:hyperlink w:anchor="P7756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3.16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3.18.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Муниципальное образование, признанное победителем отбора муниципальных образований для предоставления субсидии,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образования.</w:t>
      </w:r>
      <w:proofErr w:type="gramEnd"/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территорий, то затраты на реализацию такого проекта сверх первоначальной его стоимости осуществляются за счет средств местного бюджета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или) внебюджетных источников.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4. Методика распределения субсидии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4.1. Распределение субсидии осуществляется исходя из заявок муниципальных образований по формуле: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D20F74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= (ЗС</w:t>
      </w:r>
      <w:r w:rsidRPr="00D20F74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r w:rsidRPr="00D20F74">
        <w:rPr>
          <w:rFonts w:ascii="Times New Roman" w:eastAsiaTheme="minorEastAsia" w:hAnsi="Times New Roman" w:cs="Times New Roman"/>
          <w:lang w:eastAsia="ru-RU"/>
        </w:rPr>
        <w:t xml:space="preserve"> - ВГЮЛ</w:t>
      </w:r>
      <w:r w:rsidRPr="00D20F74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r w:rsidRPr="00D20F74">
        <w:rPr>
          <w:rFonts w:ascii="Times New Roman" w:eastAsiaTheme="minorEastAsia" w:hAnsi="Times New Roman" w:cs="Times New Roman"/>
          <w:lang w:eastAsia="ru-RU"/>
        </w:rPr>
        <w:t>) x УС</w:t>
      </w:r>
      <w:r w:rsidRPr="00D20F74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r w:rsidRPr="00D20F74">
        <w:rPr>
          <w:rFonts w:ascii="Times New Roman" w:eastAsiaTheme="minorEastAsia" w:hAnsi="Times New Roman" w:cs="Times New Roman"/>
          <w:lang w:eastAsia="ru-RU"/>
        </w:rPr>
        <w:t>,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где: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i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- объем субсидии бюджету i-го муниципального образования;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ЗСi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ВГЮЛi - вклад граждан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или) юридических лиц (индивидуальных предпринимателей);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УС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i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- предельный уровень софинансирования для i-го муниципального образования.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В общем объеме расходов на исполнение софинансируемых обязательств предусматривается вклад граждан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Вклад граждан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может быть выражен в различных формах (денежные средства, трудовое участие, предоставление помещений, технических средств).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работ, связанных с реализацией общественно значимого проекта по благоустройству сельских территорий.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Предельный уровень софинансирования для i-го муниципального образования определяется в порядке, предусмотренном </w:t>
      </w:r>
      <w:hyperlink r:id="rId9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6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Объем субсидии бюджету i-го муниципального образования не может превышать 70 процентов от планового общего объема расходов на реализацию проекта.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0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3.2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11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3.6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P7778"/>
      <w:bookmarkEnd w:id="7"/>
      <w:r w:rsidRPr="00D20F74">
        <w:rPr>
          <w:rFonts w:ascii="Times New Roman" w:eastAsiaTheme="minorEastAsia" w:hAnsi="Times New Roman" w:cs="Times New Roman"/>
          <w:lang w:eastAsia="ru-RU"/>
        </w:rPr>
        <w:t>4.3. Утвержденный для муниципального образования объем субсидии может быть пересмотрен: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lastRenderedPageBreak/>
        <w:t>а) при отказе муниципального образования от заключения соглашения;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б) при наличии экономии бюджетных сре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дств в р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езультате проведения конкурсных процедур;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в) при распределении нераспределенного объема субсидии в текущем финансовом году.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8" w:name="P7782"/>
      <w:bookmarkEnd w:id="8"/>
      <w:r w:rsidRPr="00D20F74">
        <w:rPr>
          <w:rFonts w:ascii="Times New Roman" w:eastAsiaTheme="minorEastAsia" w:hAnsi="Times New Roman" w:cs="Times New Roman"/>
          <w:lang w:eastAsia="ru-RU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>или) отказа муниципального образования от предоставления субсидии (части субсидии);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в случае выделения средств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"Комплексное развитие сельских территорий".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Дополнительный отбор муниципальных образований для предоставления субсидии осуществляется в соответствии с </w:t>
      </w:r>
      <w:hyperlink w:anchor="P7613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3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5. Порядок перечисления и расходования субсидии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2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4.2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Правил, и в сроки, установленные </w:t>
      </w:r>
      <w:hyperlink r:id="rId13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4.3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При наличии оснований, указанных в </w:t>
      </w:r>
      <w:hyperlink w:anchor="P7778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пунктах 4.3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7782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4.4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настоящего Порядка, соглашение (дополнительное соглашение) заключается не позднее 30 рабочих дней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 даты внесения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изменений в утвержденное распределение субсидии.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4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4.4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lastRenderedPageBreak/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с даты поступления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оформленного надлежащим образом платежного документа.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6. Меры финансовой ответственности, применяемые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к муниципальному образованию при невыполнении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0F74">
        <w:rPr>
          <w:rFonts w:ascii="Times New Roman" w:eastAsiaTheme="minorEastAsia" w:hAnsi="Times New Roman" w:cs="Times New Roman"/>
          <w:b/>
          <w:lang w:eastAsia="ru-RU"/>
        </w:rPr>
        <w:t>им условий соглашения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20F74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D20F74">
        <w:rPr>
          <w:rFonts w:ascii="Times New Roman" w:eastAsiaTheme="minorEastAsia" w:hAnsi="Times New Roman" w:cs="Times New Roman"/>
          <w:lang w:eastAsia="ru-RU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20F74" w:rsidRPr="00D20F74" w:rsidRDefault="00D20F74" w:rsidP="00D20F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D20F74">
        <w:rPr>
          <w:rFonts w:ascii="Times New Roman" w:eastAsiaTheme="minorEastAsia" w:hAnsi="Times New Roman" w:cs="Times New Roman"/>
          <w:lang w:eastAsia="ru-RU"/>
        </w:rPr>
        <w:t xml:space="preserve"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5">
        <w:r w:rsidRPr="00D20F74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5</w:t>
        </w:r>
      </w:hyperlink>
      <w:r w:rsidRPr="00D20F7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0F74" w:rsidRPr="00D20F74" w:rsidRDefault="00D20F74" w:rsidP="00D20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C4967" w:rsidRPr="00D20F74" w:rsidRDefault="00AC4967" w:rsidP="00D20F74">
      <w:bookmarkStart w:id="9" w:name="_GoBack"/>
      <w:bookmarkEnd w:id="9"/>
    </w:p>
    <w:sectPr w:rsidR="00AC4967" w:rsidRPr="00D20F74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0B33A8"/>
    <w:rsid w:val="00240F07"/>
    <w:rsid w:val="0053738C"/>
    <w:rsid w:val="005522FA"/>
    <w:rsid w:val="0060129D"/>
    <w:rsid w:val="00800B9C"/>
    <w:rsid w:val="00991D64"/>
    <w:rsid w:val="00AC4967"/>
    <w:rsid w:val="00B43DBC"/>
    <w:rsid w:val="00C502C0"/>
    <w:rsid w:val="00CA3D88"/>
    <w:rsid w:val="00D20F74"/>
    <w:rsid w:val="00D37F0F"/>
    <w:rsid w:val="00D408B1"/>
    <w:rsid w:val="00DC2CAE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CA919EED04B3DC696077E3B3E67B462A9E1F266490B9E6C202AFD881B501E8BE245E4666B0BB831143D95E4172A5B72C16F40B689CDEE9AZDa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919EED04B3DC696077E3B3E67B462A9E1F266490B9E6C202AFD881B501E8BE245E4666B0BBA311C3D95E4172A5B72C16F40B689CDEE9AZDaEJ" TargetMode="External"/><Relationship Id="rId12" Type="http://schemas.openxmlformats.org/officeDocument/2006/relationships/hyperlink" Target="consultantplus://offline/ref=ECA919EED04B3DC696077E3B3E67B462A9E1F266490B9E6C202AFD881B501E8BE245E4666B0BBB37163D95E4172A5B72C16F40B689CDEE9AZDaE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FE5F1624C0B9E6C202AFD881B501E8BE245E46E620DB561447294B8527D4873C26F42B795ZCaCJ" TargetMode="External"/><Relationship Id="rId11" Type="http://schemas.openxmlformats.org/officeDocument/2006/relationships/hyperlink" Target="consultantplus://offline/ref=ECA919EED04B3DC696077E3B3E67B462A9E1F266490B9E6C202AFD881B501E8BE245E4666B0BB836103D95E4172A5B72C16F40B689CDEE9AZDaEJ" TargetMode="External"/><Relationship Id="rId5" Type="http://schemas.openxmlformats.org/officeDocument/2006/relationships/hyperlink" Target="consultantplus://offline/ref=ECA919EED04B3DC69607612A2B67B462AFE5F1624C0B9E6C202AFD881B501E8BE245E4666B0BBF37113D95E4172A5B72C16F40B689CDEE9AZDaEJ" TargetMode="External"/><Relationship Id="rId15" Type="http://schemas.openxmlformats.org/officeDocument/2006/relationships/hyperlink" Target="consultantplus://offline/ref=ECA919EED04B3DC696077E3B3E67B462A9E1F266490B9E6C202AFD881B501E8BE245E4666B0BBB31123D95E4172A5B72C16F40B689CDEE9AZDaEJ" TargetMode="External"/><Relationship Id="rId10" Type="http://schemas.openxmlformats.org/officeDocument/2006/relationships/hyperlink" Target="consultantplus://offline/ref=ECA919EED04B3DC696077E3B3E67B462A9E1F266490B9E6C202AFD881B501E8BE245E4666B0BB836113D95E4172A5B72C16F40B689CDEE9AZD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7E3B3E67B462A9E1F266490B9E6C202AFD881B501E8BE245E4666B0BBB3D123D95E4172A5B72C16F40B689CDEE9AZDaEJ" TargetMode="External"/><Relationship Id="rId14" Type="http://schemas.openxmlformats.org/officeDocument/2006/relationships/hyperlink" Target="consultantplus://offline/ref=ECA919EED04B3DC696077E3B3E67B462A9E1F266490B9E6C202AFD881B501E8BE245E4666B0BBB361D3D95E4172A5B72C16F40B689CDEE9AZ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2023-01-12T09:33:00Z</dcterms:created>
  <dcterms:modified xsi:type="dcterms:W3CDTF">2023-01-12T09:33:00Z</dcterms:modified>
</cp:coreProperties>
</file>