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</w:t>
      </w:r>
      <w:bookmarkStart w:id="0" w:name="_GoBack"/>
      <w:bookmarkEnd w:id="0"/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1D4"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E77F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E77F6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>февраля 2023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0300D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504909" w:rsidRDefault="00504909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04909">
              <w:rPr>
                <w:rFonts w:ascii="Times New Roman" w:hAnsi="Times New Roman" w:cs="Times New Roman"/>
              </w:rPr>
              <w:t>актический сбор урожая (по видам сельскохозяйственных культур) по итогам проведения агротехнологических работ, направленных</w:t>
            </w:r>
            <w:r>
              <w:rPr>
                <w:rFonts w:ascii="Times New Roman" w:hAnsi="Times New Roman" w:cs="Times New Roman"/>
              </w:rPr>
              <w:t>,</w:t>
            </w:r>
            <w:r w:rsidRPr="00504909">
              <w:rPr>
                <w:rFonts w:ascii="Times New Roman" w:hAnsi="Times New Roman" w:cs="Times New Roman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504909">
              <w:rPr>
                <w:rFonts w:ascii="Times New Roman" w:hAnsi="Times New Roman" w:cs="Times New Roman"/>
              </w:rPr>
              <w:t xml:space="preserve"> на повышение уровня экологической безопасности сельскохозяйственного производства, повыш</w:t>
            </w:r>
            <w:r>
              <w:rPr>
                <w:rFonts w:ascii="Times New Roman" w:hAnsi="Times New Roman" w:cs="Times New Roman"/>
              </w:rPr>
              <w:t>ение плодородия и качества почв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04909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04909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0300D9">
        <w:trPr>
          <w:trHeight w:val="495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A2E8A" w:rsidRPr="009A2E8A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по форме, утвержденной нормативным правовым актом комитета;</w:t>
            </w:r>
          </w:p>
          <w:p w:rsidR="00B941D4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E77F6D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C1686E" w:rsidRPr="00A05E37" w:rsidRDefault="00C1686E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50490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1D7777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0300D9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D7777"/>
    <w:rsid w:val="002D45DA"/>
    <w:rsid w:val="00504909"/>
    <w:rsid w:val="006E516C"/>
    <w:rsid w:val="00745838"/>
    <w:rsid w:val="009A2E8A"/>
    <w:rsid w:val="00B553DF"/>
    <w:rsid w:val="00B941D4"/>
    <w:rsid w:val="00C03823"/>
    <w:rsid w:val="00C1686E"/>
    <w:rsid w:val="00C63799"/>
    <w:rsid w:val="00D125A4"/>
    <w:rsid w:val="00E77F6D"/>
    <w:rsid w:val="00F8583C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9</cp:revision>
  <dcterms:created xsi:type="dcterms:W3CDTF">2021-12-28T07:24:00Z</dcterms:created>
  <dcterms:modified xsi:type="dcterms:W3CDTF">2023-02-03T06:09:00Z</dcterms:modified>
</cp:coreProperties>
</file>