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50" w:rsidRDefault="00F81150">
      <w:pPr>
        <w:pStyle w:val="ConsPlusNormal"/>
        <w:outlineLvl w:val="0"/>
      </w:pPr>
      <w:bookmarkStart w:id="0" w:name="_GoBack"/>
    </w:p>
    <w:p w:rsidR="00F81150" w:rsidRDefault="00F81150">
      <w:pPr>
        <w:pStyle w:val="ConsPlusNormal"/>
        <w:jc w:val="right"/>
        <w:outlineLvl w:val="0"/>
      </w:pPr>
      <w:r>
        <w:t>Приложение 12</w:t>
      </w:r>
    </w:p>
    <w:p w:rsidR="00F81150" w:rsidRDefault="00F81150">
      <w:pPr>
        <w:pStyle w:val="ConsPlusNormal"/>
        <w:jc w:val="right"/>
      </w:pPr>
      <w:r>
        <w:t>к Государственной программе...</w:t>
      </w:r>
    </w:p>
    <w:p w:rsidR="00F81150" w:rsidRDefault="00F81150">
      <w:pPr>
        <w:pStyle w:val="ConsPlusNormal"/>
      </w:pPr>
    </w:p>
    <w:p w:rsidR="00F81150" w:rsidRDefault="00F81150">
      <w:pPr>
        <w:pStyle w:val="ConsPlusTitle"/>
        <w:jc w:val="center"/>
      </w:pPr>
      <w:r>
        <w:t>ПОРЯДОК</w:t>
      </w:r>
    </w:p>
    <w:p w:rsidR="00F81150" w:rsidRDefault="00F81150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F81150" w:rsidRDefault="00F81150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F81150" w:rsidRDefault="00F81150">
      <w:pPr>
        <w:pStyle w:val="ConsPlusTitle"/>
        <w:jc w:val="center"/>
      </w:pPr>
      <w:r>
        <w:t>ОБРАЗОВАНИЙ ЛЕНИНГРАДСКОЙ ОБЛАСТИ НА СТРОИТЕЛЬСТВО,</w:t>
      </w:r>
    </w:p>
    <w:p w:rsidR="00F81150" w:rsidRDefault="00F81150">
      <w:pPr>
        <w:pStyle w:val="ConsPlusTitle"/>
        <w:jc w:val="center"/>
      </w:pPr>
      <w:r>
        <w:t>РЕКОНСТРУКЦИЮ, МОДЕРНИЗАЦИЮ ОБЪЕКТОВ И ОБЕСПЕЧЕНИЕ</w:t>
      </w:r>
    </w:p>
    <w:p w:rsidR="00F81150" w:rsidRDefault="00F81150">
      <w:pPr>
        <w:pStyle w:val="ConsPlusTitle"/>
        <w:jc w:val="center"/>
      </w:pPr>
      <w:r>
        <w:t>КОМПЛЕКСНОГО РАЗВИТИЯ СЕЛЬСКИХ ТЕРРИТОРИЙ В РАМКАХ</w:t>
      </w:r>
    </w:p>
    <w:p w:rsidR="00F81150" w:rsidRDefault="00F81150">
      <w:pPr>
        <w:pStyle w:val="ConsPlusTitle"/>
        <w:jc w:val="center"/>
      </w:pPr>
      <w:r>
        <w:t xml:space="preserve">РЕАЛИЗАЦИИ ПОДПРОГРАММЫ "СОВРЕМЕННЫЙ ОБЛИК </w:t>
      </w:r>
      <w:proofErr w:type="gramStart"/>
      <w:r>
        <w:t>СЕЛЬСКИХ</w:t>
      </w:r>
      <w:proofErr w:type="gramEnd"/>
    </w:p>
    <w:p w:rsidR="00F81150" w:rsidRDefault="00F81150">
      <w:pPr>
        <w:pStyle w:val="ConsPlusTitle"/>
        <w:jc w:val="center"/>
      </w:pPr>
      <w:r>
        <w:t>ТЕРРИТОРИЙ ЛЕНИНГРАДСКОЙ ОБЛАСТИ"</w:t>
      </w:r>
    </w:p>
    <w:p w:rsidR="00F81150" w:rsidRDefault="00F81150">
      <w:pPr>
        <w:pStyle w:val="ConsPlusNormal"/>
        <w:jc w:val="center"/>
      </w:pPr>
    </w:p>
    <w:p w:rsidR="00F81150" w:rsidRDefault="00F81150">
      <w:pPr>
        <w:pStyle w:val="ConsPlusTitle"/>
        <w:jc w:val="center"/>
        <w:outlineLvl w:val="1"/>
      </w:pPr>
      <w:r>
        <w:t>1. Общие положения</w:t>
      </w:r>
    </w:p>
    <w:p w:rsidR="00F81150" w:rsidRDefault="00F81150">
      <w:pPr>
        <w:pStyle w:val="ConsPlusNormal"/>
        <w:ind w:firstLine="540"/>
        <w:jc w:val="both"/>
      </w:pPr>
    </w:p>
    <w:p w:rsidR="00F81150" w:rsidRDefault="00F81150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строительство, реконструкцию, модернизацию объектов и обеспечение комплексного развития сельских территорий в рамках реализации следующих основных мероприятий подпрограммы "Современный облик сельских территорий Ленинградской области" (далее - субсидия, основное мероприятие):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1" w:name="P16"/>
      <w:bookmarkEnd w:id="1"/>
      <w:r>
        <w:t>а) развитие сети дошкольных образовательных и общеобразовательных организаций на сельских территориях;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2" w:name="P17"/>
      <w:bookmarkEnd w:id="2"/>
      <w:r>
        <w:t>б) развитие сети учреждений культурно-досугового типа, социального назначения на сельских территориях;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3" w:name="P18"/>
      <w:bookmarkEnd w:id="3"/>
      <w:r>
        <w:t>в) развитие сети спортивных сооружений на сельских территориях;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4" w:name="P19"/>
      <w:bookmarkEnd w:id="4"/>
      <w:r>
        <w:t>г) развитие инженерной инфраструктуры на сельских территориях в части мероприятия по строительству, реконструкции объектов питьевого и технического водоснабжения, водоотведения на сельских территориях;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5" w:name="P20"/>
      <w:bookmarkEnd w:id="5"/>
      <w:r>
        <w:t>д) развитие инженерной инфраструктуры на сельских территориях в части мероприятия по строительству объектов газоснабжения на сельских территориях.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областного бюджета Ленинградской области (далее также - ГРБС).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1.3. ГРБС, осуществляющими предоставление субсидии, являются: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комитет по строительству Ленинградской области - по основным мероприятиям, указанным в </w:t>
      </w:r>
      <w:hyperlink w:anchor="P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"в" пункта 1.1</w:t>
        </w:r>
      </w:hyperlink>
      <w:r>
        <w:t xml:space="preserve"> настоящего Порядка;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комитет по жилищно-коммунальному хозяйству Ленинградской области - по основному мероприятию, указанному в </w:t>
      </w:r>
      <w:hyperlink w:anchor="P19" w:history="1">
        <w:r>
          <w:rPr>
            <w:color w:val="0000FF"/>
          </w:rPr>
          <w:t>подпункте "г" пункта 1.1</w:t>
        </w:r>
      </w:hyperlink>
      <w:r>
        <w:t xml:space="preserve"> настоящего Порядка;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комитет по топливно-энергетическому комплексу Ленинградской области - по основному мероприятию, указанному в </w:t>
      </w:r>
      <w:hyperlink w:anchor="P20" w:history="1">
        <w:r>
          <w:rPr>
            <w:color w:val="0000FF"/>
          </w:rPr>
          <w:t>подпункте "д" пункта 1.1</w:t>
        </w:r>
      </w:hyperlink>
      <w:r>
        <w:t xml:space="preserve"> настоящего Порядка.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Субсидия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</w:t>
      </w:r>
      <w:r>
        <w:lastRenderedPageBreak/>
        <w:t xml:space="preserve">местного самоуправления по решению вопросов местного значения 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, </w:t>
      </w:r>
      <w:hyperlink r:id="rId6" w:history="1">
        <w:r>
          <w:rPr>
            <w:color w:val="0000FF"/>
          </w:rPr>
          <w:t>11</w:t>
        </w:r>
      </w:hyperlink>
      <w:r>
        <w:t xml:space="preserve">, </w:t>
      </w:r>
      <w:hyperlink r:id="rId7" w:history="1">
        <w:r>
          <w:rPr>
            <w:color w:val="0000FF"/>
          </w:rPr>
          <w:t>12</w:t>
        </w:r>
      </w:hyperlink>
      <w:r>
        <w:t xml:space="preserve">, </w:t>
      </w:r>
      <w:hyperlink r:id="rId8" w:history="1">
        <w:r>
          <w:rPr>
            <w:color w:val="0000FF"/>
          </w:rPr>
          <w:t>14 части 1 статьи 14</w:t>
        </w:r>
      </w:hyperlink>
      <w:r>
        <w:t xml:space="preserve"> и </w:t>
      </w:r>
      <w:hyperlink r:id="rId9" w:history="1">
        <w:r>
          <w:rPr>
            <w:color w:val="0000FF"/>
          </w:rPr>
          <w:t>пунктами 11</w:t>
        </w:r>
      </w:hyperlink>
      <w:r>
        <w:t xml:space="preserve">, </w:t>
      </w:r>
      <w:hyperlink r:id="rId10" w:history="1">
        <w:r>
          <w:rPr>
            <w:color w:val="0000FF"/>
          </w:rPr>
          <w:t>18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</w:t>
      </w:r>
      <w:proofErr w:type="gramEnd"/>
      <w:r>
        <w:t>".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1.5. В целях реализации настоящего Порядка используются следующие понятия: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проект комплексного развития сельских территорий (сельских агломераций) - документ, содержащий комплекс мероприятий по строительству, реконструкции, модернизации (в том числе проектно-изыскательские работы), капитальному ремонту объектов, реализуемых на сельских территориях или сельских агломерациях;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объект - объект капитального строительства, финансовое обеспечение проектно-изыскательских работ по которому </w:t>
      </w:r>
      <w:proofErr w:type="gramStart"/>
      <w:r>
        <w:t>и(</w:t>
      </w:r>
      <w:proofErr w:type="gramEnd"/>
      <w:r>
        <w:t xml:space="preserve">или) работ по строительству, реконструкции, модернизации которого планируется осуществить за счет средств субсидии из областного бюджета Ленинградской области в рамках реализации основных мероприятий, предусмотренных </w:t>
      </w:r>
      <w:hyperlink w:anchor="P1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0" w:history="1">
        <w:r>
          <w:rPr>
            <w:color w:val="0000FF"/>
          </w:rPr>
          <w:t>"д" пункта 1.1</w:t>
        </w:r>
      </w:hyperlink>
      <w:r>
        <w:t xml:space="preserve"> настоящего Порядка;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5 к Государственной программе;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сельские агломерации - сельские территории, а также поселки городского типа, рабочие поселки и малые города с численностью населения, постоянно проживающего на их территории, не превышающей 30 тыс. человек.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сельских агломераций определен приложением 6 к Государственной программе.</w:t>
      </w:r>
    </w:p>
    <w:p w:rsidR="00F81150" w:rsidRDefault="00F81150">
      <w:pPr>
        <w:pStyle w:val="ConsPlusNormal"/>
      </w:pPr>
    </w:p>
    <w:p w:rsidR="00F81150" w:rsidRDefault="00F81150">
      <w:pPr>
        <w:pStyle w:val="ConsPlusTitle"/>
        <w:jc w:val="center"/>
        <w:outlineLvl w:val="1"/>
      </w:pPr>
      <w:r>
        <w:t>2. Цели и условия предоставления субсидии</w:t>
      </w:r>
    </w:p>
    <w:p w:rsidR="00F81150" w:rsidRDefault="00F81150">
      <w:pPr>
        <w:pStyle w:val="ConsPlusNormal"/>
      </w:pPr>
    </w:p>
    <w:p w:rsidR="00F81150" w:rsidRDefault="00F81150">
      <w:pPr>
        <w:pStyle w:val="ConsPlusNormal"/>
        <w:ind w:firstLine="540"/>
        <w:jc w:val="both"/>
      </w:pPr>
      <w:r>
        <w:t>2.1.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пунктов, расположенных в сельской местности.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2.2. В рамках основного мероприятия, предусмотренного </w:t>
      </w:r>
      <w:hyperlink w:anchor="P16" w:history="1">
        <w:r>
          <w:rPr>
            <w:color w:val="0000FF"/>
          </w:rPr>
          <w:t>подпунктом "а" пункта 1.1</w:t>
        </w:r>
      </w:hyperlink>
      <w:r>
        <w:t xml:space="preserve"> настоящего Порядка, субсидия предоставляется на капитальное строительство, реконструкцию, модернизацию (включая проектно-изыскательские работы) дошкольных образовательных и общеобразовательных организаций, расположенных на сельских территориях и на территории сельских агломераций.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gramStart"/>
      <w:r>
        <w:t xml:space="preserve">В рамках основного мероприятия, предусмотренного </w:t>
      </w:r>
      <w:hyperlink w:anchor="P17" w:history="1">
        <w:r>
          <w:rPr>
            <w:color w:val="0000FF"/>
          </w:rPr>
          <w:t>подпунктом "б" пункта 1.1</w:t>
        </w:r>
      </w:hyperlink>
      <w:r>
        <w:t xml:space="preserve"> настоящего Порядка, субсидия предоставляется на капитальное строительство, реконструкцию, модернизацию (включая проектно-изыскательские работы) объектов в сфере культуры,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туризма,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</w:t>
      </w:r>
      <w:proofErr w:type="gramEnd"/>
      <w:r>
        <w:t xml:space="preserve"> счет средств федерального бюджета, утвержденный в соответствии со </w:t>
      </w:r>
      <w:hyperlink r:id="rId13" w:history="1">
        <w:r>
          <w:rPr>
            <w:color w:val="0000FF"/>
          </w:rPr>
          <w:t>статьей 4</w:t>
        </w:r>
      </w:hyperlink>
      <w:r>
        <w:t xml:space="preserve"> Федерального закона "О народных художественных промыслах"), расположенных на сельских территориях и на территории сельских агломераций.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В рамках основного мероприятия, предусмотренного </w:t>
      </w:r>
      <w:hyperlink w:anchor="P18" w:history="1">
        <w:r>
          <w:rPr>
            <w:color w:val="0000FF"/>
          </w:rPr>
          <w:t>подпунктом "в" пункта 1.1</w:t>
        </w:r>
      </w:hyperlink>
      <w:r>
        <w:t xml:space="preserve"> настоящего Порядка, субсидия предоставляется на капитальное строительство, реконструкцию (включая проектно-изыскательские работы) спортивных сооружений, расположенных на сельских территориях и на территории сельских агломераций.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lastRenderedPageBreak/>
        <w:t xml:space="preserve">В рамках основного мероприятия, предусмотренного </w:t>
      </w:r>
      <w:hyperlink w:anchor="P19" w:history="1">
        <w:r>
          <w:rPr>
            <w:color w:val="0000FF"/>
          </w:rPr>
          <w:t>подпунктом "г" пункта 1.1</w:t>
        </w:r>
      </w:hyperlink>
      <w:r>
        <w:t xml:space="preserve"> настоящего Порядка, субсидия предоставляется на капитальное строительство, реконструкцию (включая проектно-изыскательские работы) систем водоотведения и канализации, очистных сооружений, станций обезжелезивания воды, локальных водопроводов, водозаборных сооружений на сельских территориях или на территории сельских агломераций.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В рамках основного мероприятия, предусмотренного </w:t>
      </w:r>
      <w:hyperlink w:anchor="P20" w:history="1">
        <w:r>
          <w:rPr>
            <w:color w:val="0000FF"/>
          </w:rPr>
          <w:t>подпунктом "д" пункта 1.1</w:t>
        </w:r>
      </w:hyperlink>
      <w:r>
        <w:t xml:space="preserve"> настоящего Порядка, субсидия предоставляется на капитальное строительство (включая проектно-изыскательские работы) газораспределительных сетей на сельских территориях или на территории сельских агломераций.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2.3. Результатами использования субсидии на реализацию основных мероприятий, предусмотренных:</w:t>
      </w:r>
    </w:p>
    <w:p w:rsidR="00F81150" w:rsidRDefault="00F81150">
      <w:pPr>
        <w:pStyle w:val="ConsPlusNormal"/>
        <w:spacing w:before="220"/>
        <w:ind w:firstLine="540"/>
        <w:jc w:val="both"/>
      </w:pPr>
      <w:hyperlink w:anchor="P16" w:history="1">
        <w:r>
          <w:rPr>
            <w:color w:val="0000FF"/>
          </w:rPr>
          <w:t>подпунктом "а" пункта 1.1</w:t>
        </w:r>
      </w:hyperlink>
      <w:r>
        <w:t xml:space="preserve"> настоящего Порядка, являются процент строительной готовности </w:t>
      </w:r>
      <w:proofErr w:type="gramStart"/>
      <w:r>
        <w:t>и(</w:t>
      </w:r>
      <w:proofErr w:type="gramEnd"/>
      <w:r>
        <w:t>или) завершение работ по строительству, реконструкции, модернизации дошкольных образовательных и общеобразовательных организаций (для объектов строительства) и наличие разработанной проектно-сметной документации (для объектов проектирования);</w:t>
      </w:r>
    </w:p>
    <w:p w:rsidR="00F81150" w:rsidRDefault="00F81150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подпунктом "б" пункта 1.1</w:t>
        </w:r>
      </w:hyperlink>
      <w:r>
        <w:t xml:space="preserve"> настоящего Порядка, являются процент строительной готовности </w:t>
      </w:r>
      <w:proofErr w:type="gramStart"/>
      <w:r>
        <w:t>и(</w:t>
      </w:r>
      <w:proofErr w:type="gramEnd"/>
      <w:r>
        <w:t>или) завершение работ по строительству, реконструкции, модернизации объекта в сфере культуры, объекта социального назначения (для объектов строительства) и наличие разработанной проектно-сметной документации (для объектов проектирования);</w:t>
      </w:r>
    </w:p>
    <w:p w:rsidR="00F81150" w:rsidRDefault="00F81150">
      <w:pPr>
        <w:pStyle w:val="ConsPlusNormal"/>
        <w:spacing w:before="220"/>
        <w:ind w:firstLine="540"/>
        <w:jc w:val="both"/>
      </w:pPr>
      <w:hyperlink w:anchor="P18" w:history="1">
        <w:r>
          <w:rPr>
            <w:color w:val="0000FF"/>
          </w:rPr>
          <w:t>подпунктом "в" пункта 1.1</w:t>
        </w:r>
      </w:hyperlink>
      <w:r>
        <w:t xml:space="preserve"> настоящего Порядка, являются процент строительной готовности </w:t>
      </w:r>
      <w:proofErr w:type="gramStart"/>
      <w:r>
        <w:t>и(</w:t>
      </w:r>
      <w:proofErr w:type="gramEnd"/>
      <w:r>
        <w:t>или) завершение работ по строительству, реконструкции спортивных сооружений (для объектов строительства) и наличие разработанной проектно-сметной документации (для объектов проектирования);</w:t>
      </w:r>
    </w:p>
    <w:p w:rsidR="00F81150" w:rsidRDefault="00F81150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подпунктом "г" пункта 1.1</w:t>
        </w:r>
      </w:hyperlink>
      <w:r>
        <w:t xml:space="preserve"> настоящего Порядка, являются процент строительной готовности </w:t>
      </w:r>
      <w:proofErr w:type="gramStart"/>
      <w:r>
        <w:t>и(</w:t>
      </w:r>
      <w:proofErr w:type="gramEnd"/>
      <w:r>
        <w:t>или) завершение работ по строительству, реконструкции объекта (для объектов строительства) и наличие разработанной проектно-сметной документации (для объектов проектирования);</w:t>
      </w:r>
    </w:p>
    <w:p w:rsidR="00F81150" w:rsidRDefault="00F81150">
      <w:pPr>
        <w:pStyle w:val="ConsPlusNormal"/>
        <w:spacing w:before="220"/>
        <w:ind w:firstLine="540"/>
        <w:jc w:val="both"/>
      </w:pPr>
      <w:hyperlink w:anchor="P20" w:history="1">
        <w:r>
          <w:rPr>
            <w:color w:val="0000FF"/>
          </w:rPr>
          <w:t>подпунктом "д" пункта 1.1</w:t>
        </w:r>
      </w:hyperlink>
      <w:r>
        <w:t xml:space="preserve"> настоящего Порядка, являются процент строительной готовности </w:t>
      </w:r>
      <w:proofErr w:type="gramStart"/>
      <w:r>
        <w:t>и(</w:t>
      </w:r>
      <w:proofErr w:type="gramEnd"/>
      <w:r>
        <w:t>или) протяженность вновь построенных газораспределительных сетей (для объектов строительства) и наличие разработанной проектно-сметной документации (для объектов проектирования).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2.4. Субсидия предоставляется при соблюдении условий, установленных </w:t>
      </w:r>
      <w:hyperlink r:id="rId14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2.5.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- перечень объектов АИП).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gramStart"/>
      <w:r>
        <w:t xml:space="preserve">Перечень объектов АИП формируется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 по итогам отбора объектов инвестиций комиссией при Правительстве Ленинградской области по бюджетным </w:t>
      </w:r>
      <w:r>
        <w:lastRenderedPageBreak/>
        <w:t xml:space="preserve">проектировкам (далее - комиссия), проводимого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Положение), и утверждается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предусмотренном Положением.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Комитет формирует и утверждает рейтинг перспективных объектов инвестиций в разрезе проектов комплексного развития сельских территорий (сельских агломераций) (далее - рейтинг), который направляется ГРБС в составе сводных перечней объектов инвестиций в Комитет финансов Ленинградской области для рассмотрения комиссией.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На основании протокола заседания комиссии ГРБС принимает решение о победителях отбора (получателях субсидии) посредством принятия соответствующего правового акта в течение двух рабочих дней </w:t>
      </w:r>
      <w:proofErr w:type="gramStart"/>
      <w:r>
        <w:t>с даты подписания</w:t>
      </w:r>
      <w:proofErr w:type="gramEnd"/>
      <w:r>
        <w:t xml:space="preserve"> протокола.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2.6. В 2020 году получателями субсидии из областного бюджета Ленинградской области признаются: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gramStart"/>
      <w:r>
        <w:t>муниципальные образования, имеющие ранее принятые долгосрочные расходные обязательства, связанные со строительством, реконструкцией (в том числе выполнением проектно-изыскательских работ) по объектам, финансовое обеспечение работ по которым было предусмотрено в рамках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 и заключенное в предыдущий год соглашение с главным распорядителем бюджетных средств, предусматривающее предоставление субсидии в</w:t>
      </w:r>
      <w:proofErr w:type="gramEnd"/>
      <w:r>
        <w:t xml:space="preserve"> очередном финансовом году и плановом периоде;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объекты, которые вошли в состав проектов комплексного развития сельских территорий (сельских агломераций), прошедших конкурсный отбор проектов, направленных на комплексное развитие сельских территорий, проведенный Министерством сельского хозяйства Российской Федерации.</w:t>
      </w:r>
    </w:p>
    <w:p w:rsidR="00F81150" w:rsidRDefault="00F81150">
      <w:pPr>
        <w:pStyle w:val="ConsPlusNormal"/>
      </w:pPr>
    </w:p>
    <w:p w:rsidR="00F81150" w:rsidRDefault="00F81150">
      <w:pPr>
        <w:pStyle w:val="ConsPlusTitle"/>
        <w:jc w:val="center"/>
        <w:outlineLvl w:val="1"/>
      </w:pPr>
      <w:bookmarkStart w:id="6" w:name="P57"/>
      <w:bookmarkEnd w:id="6"/>
      <w:r>
        <w:t>3. Отбор заявок муниципальных образований для включения</w:t>
      </w:r>
    </w:p>
    <w:p w:rsidR="00F81150" w:rsidRDefault="00F81150">
      <w:pPr>
        <w:pStyle w:val="ConsPlusTitle"/>
        <w:jc w:val="center"/>
      </w:pPr>
      <w:r>
        <w:t>проектов комплексного развития сельских территорий</w:t>
      </w:r>
    </w:p>
    <w:p w:rsidR="00F81150" w:rsidRDefault="00F81150">
      <w:pPr>
        <w:pStyle w:val="ConsPlusTitle"/>
        <w:jc w:val="center"/>
      </w:pPr>
      <w:r>
        <w:t>(сельских агломераций) в рейтинг</w:t>
      </w:r>
    </w:p>
    <w:p w:rsidR="00F81150" w:rsidRDefault="00F81150">
      <w:pPr>
        <w:pStyle w:val="ConsPlusNormal"/>
      </w:pPr>
    </w:p>
    <w:p w:rsidR="00F81150" w:rsidRDefault="00F81150">
      <w:pPr>
        <w:pStyle w:val="ConsPlusNormal"/>
        <w:ind w:firstLine="540"/>
        <w:jc w:val="both"/>
      </w:pPr>
      <w:r>
        <w:t>3.1. В целях формирования рейтинга комитетом проводится отбор заявок муниципальных образований (далее - отбор).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3.3. Срок приема заявок от муниципальных образований составляет пять рабочих дней со дня размещения извещения на </w:t>
      </w:r>
      <w:proofErr w:type="gramStart"/>
      <w:r>
        <w:t>интернет-портале</w:t>
      </w:r>
      <w:proofErr w:type="gramEnd"/>
      <w:r>
        <w:t>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Конкретные даты начала и окончания срока приема заявок указываются в извещении.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Комитет вправе перенести дату окончания срока приема заявок.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Информация о переносе срока приема заявок вносится в извещение и размещается на </w:t>
      </w:r>
      <w:proofErr w:type="gramStart"/>
      <w:r>
        <w:t>интернет-портале</w:t>
      </w:r>
      <w:proofErr w:type="gramEnd"/>
      <w:r>
        <w:t xml:space="preserve"> не позднее двух рабочих дней до даты окончания срока приема заявок.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3.4. Муниципальное образование в срок, установленный в извещении, представляет в канцелярию комитета заявку-проект комплексного развития сельских территорий (сельских </w:t>
      </w:r>
      <w:r>
        <w:lastRenderedPageBreak/>
        <w:t xml:space="preserve">агломераций) по форме, утвержденной нормативным актом комитета, с приложением документов, предусмотренных </w:t>
      </w:r>
      <w:hyperlink w:anchor="P69" w:history="1">
        <w:r>
          <w:rPr>
            <w:color w:val="0000FF"/>
          </w:rPr>
          <w:t>пунктами 3.5</w:t>
        </w:r>
      </w:hyperlink>
      <w:r>
        <w:t xml:space="preserve">, </w:t>
      </w:r>
      <w:hyperlink w:anchor="P78" w:history="1">
        <w:r>
          <w:rPr>
            <w:color w:val="0000FF"/>
          </w:rPr>
          <w:t>3.6</w:t>
        </w:r>
      </w:hyperlink>
      <w:r>
        <w:t xml:space="preserve">, </w:t>
      </w:r>
      <w:hyperlink w:anchor="P79" w:history="1">
        <w:r>
          <w:rPr>
            <w:color w:val="0000FF"/>
          </w:rPr>
          <w:t>3.6.1</w:t>
        </w:r>
      </w:hyperlink>
      <w:r>
        <w:t xml:space="preserve"> - </w:t>
      </w:r>
      <w:hyperlink w:anchor="P100" w:history="1">
        <w:r>
          <w:rPr>
            <w:color w:val="0000FF"/>
          </w:rPr>
          <w:t>3.6.3</w:t>
        </w:r>
      </w:hyperlink>
      <w:r>
        <w:t xml:space="preserve"> настоящего Порядка.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 состав проекта комплексного развития сельских территорий (сельских агломераций) должно быть включено не менее двух объектов.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8" w:name="P69"/>
      <w:bookmarkEnd w:id="8"/>
      <w:r>
        <w:t>3.5. К проекту комплексного развития сельских территорий (сельских агломераций) прилагаются следующие документы: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а) копии документов, подтверждающих результаты проведения общественного обсуждения проекта комплексного развития сельских территорий (сельских агломераций) в соответствии с законодательством Российской Федерации;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б) генеральный план муниципального образования с отраженными в нем объектами, предусмотренными в составе проекта комплексного развития сельских территорий (сельских агломераций), на электронном носителе;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gramStart"/>
      <w:r>
        <w:t xml:space="preserve">в)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субсидии (в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г) в случае финансирования объектов, входящих в проект комплексного развития сельских территорий (сельских агломераций),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</w:t>
      </w:r>
      <w:proofErr w:type="spellStart"/>
      <w:r>
        <w:t>софинансировании</w:t>
      </w:r>
      <w:proofErr w:type="spellEnd"/>
      <w:r>
        <w:t xml:space="preserve"> проекта с приложением подтверждающих документов (при наличии);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д) в случае наличия расходов муниципального образования (муниципальных образований), понесенных на разработку проектно-сметной документации, проведение ее экспертизы и на иные цели, связанные с реализацией мероприятий проекта комплексного развития сельских территорий (сельских агломераций), за период не более двух лет, предшествующих дате направления проекта комплексного развития сельских территорий (сельских агломераций) на отбор, представляются документы </w:t>
      </w:r>
      <w:proofErr w:type="gramStart"/>
      <w:r>
        <w:t>и(</w:t>
      </w:r>
      <w:proofErr w:type="gramEnd"/>
      <w:r>
        <w:t>или) копии документов, подтверждающих такие расходы, содержащие сведения о плательщике, наименовании документа, объеме понесенных расходов и дате осуществления соответствующих платежей по каждому документу (при наличии);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9" w:name="P75"/>
      <w:bookmarkEnd w:id="9"/>
      <w:r>
        <w:t xml:space="preserve">е) копия технико-экономического </w:t>
      </w:r>
      <w:hyperlink r:id="rId16" w:history="1">
        <w:r>
          <w:rPr>
            <w:color w:val="0000FF"/>
          </w:rPr>
          <w:t>обоснования</w:t>
        </w:r>
      </w:hyperlink>
      <w:r>
        <w:t xml:space="preserve"> необходимости строительства (реконструкции) объекта инвестиций по форме согласно приложению 4 к Положению, согласованного комитетом и профильным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области;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ж) обоснование (расчет) влияния ввода в эксплуатацию объекта на индикаторы Государственной программы;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з) расчет ежегодных эксплуатационных расходов и расходов на материально-техническое обеспечение объекта инвестиций после его ввода в эксплуатацию.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11" w:name="P78"/>
      <w:bookmarkEnd w:id="11"/>
      <w:r>
        <w:t xml:space="preserve">3.6. К документам, предусмотренным </w:t>
      </w:r>
      <w:hyperlink w:anchor="P69" w:history="1">
        <w:r>
          <w:rPr>
            <w:color w:val="0000FF"/>
          </w:rPr>
          <w:t>пунктом 3.5</w:t>
        </w:r>
      </w:hyperlink>
      <w:r>
        <w:t xml:space="preserve"> настоящего Порядка, дополнительно представляются документы отдельно по каждому основному мероприятию, по которому планируется </w:t>
      </w:r>
      <w:proofErr w:type="spellStart"/>
      <w:r>
        <w:t>софинансирование</w:t>
      </w:r>
      <w:proofErr w:type="spellEnd"/>
      <w:r>
        <w:t xml:space="preserve"> работ по объекту в рамках проекта комплексного развития сельских территорий (сельских агломераций).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12" w:name="P79"/>
      <w:bookmarkEnd w:id="12"/>
      <w:r>
        <w:lastRenderedPageBreak/>
        <w:t xml:space="preserve">3.6.1. По основным мероприятиям, указанным в </w:t>
      </w:r>
      <w:hyperlink w:anchor="P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"в" пункта 1.1</w:t>
        </w:r>
      </w:hyperlink>
      <w:r>
        <w:t xml:space="preserve"> настоящего Порядка, представляются следующие документы: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для предоставления субсидии на выполнение проектно-изыскательских работ: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а) копия правоустанавливающих документов на земельный участок, здания, сооружения;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б) справка о наличии технической возможности подключения объекта к наружным инженерным сетям;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для предоставления субсидии на строительство (реконструкцию, модернизацию):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>
        <w:t>и(</w:t>
      </w:r>
      <w:proofErr w:type="gramEnd"/>
      <w: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в) копия проектно-сметной документации на электронном носителе;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3.6.2. По основному мероприятию, указанному в </w:t>
      </w:r>
      <w:hyperlink w:anchor="P19" w:history="1">
        <w:r>
          <w:rPr>
            <w:color w:val="0000FF"/>
          </w:rPr>
          <w:t>подпункте "г" пункта 1.1</w:t>
        </w:r>
      </w:hyperlink>
      <w:r>
        <w:t xml:space="preserve"> настоящего Порядка, представляются следующие документы: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для предоставления субсидии на выполнение проектно-изыскательских работ: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а) копия технического задания на проектные (изыскательские) работы по объекту, согласованного с комитетом по жилищно-коммунальному хозяйству Ленинградской области;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б) копия сметы на выполнение проектных (изыскательских) работ;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в) копия правоустанавливающих документов на земельный участок, здания, сооружения;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для предоставления субсидии на строительство (реконструкцию):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>
        <w:t>и(</w:t>
      </w:r>
      <w:proofErr w:type="gramEnd"/>
      <w: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в) копия проектно-сметной документации на электронном носителе;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lastRenderedPageBreak/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F81150" w:rsidRDefault="00F81150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 xml:space="preserve">3.6.3. По основному мероприятию, указанному в </w:t>
      </w:r>
      <w:hyperlink w:anchor="P20" w:history="1">
        <w:r>
          <w:rPr>
            <w:color w:val="0000FF"/>
          </w:rPr>
          <w:t>подпункте "д" пункта 1.1</w:t>
        </w:r>
      </w:hyperlink>
      <w:r>
        <w:t xml:space="preserve"> настоящего Порядка, представляются следующие документы: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для предоставления субсидии на выполнение проектно-изыскательских работ: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а) копия технического задания на проектные (изыскательские) работы по объекту, согласованного с комитетом по топливно-энергетическому комплексу Ленинградской области;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б) копия сметы на выполнение проектных (изыскательских) работ;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в) копия технических условий на подключение к сетям газораспределения;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для предоставления субсидии на строительство (реконструкцию):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>
        <w:t>и(</w:t>
      </w:r>
      <w:proofErr w:type="gramEnd"/>
      <w: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в) копия проектно-сметной документации на электронном носителе;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3.7. Проект комплексного развития сельских территорий (сельских агломераций) и прилагаемые к нему документы должны быть подписаны (заверены) главой администрации муниципального образования или уполномоченным им лицом.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Исправления в документах, прилагаемых к заявке, не допускаются.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документов несут администрации муниципальных образований.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В случае невозможности представления одного или нескольких документов, предусмотренных </w:t>
      </w:r>
      <w:hyperlink w:anchor="P69" w:history="1">
        <w:r>
          <w:rPr>
            <w:color w:val="0000FF"/>
          </w:rPr>
          <w:t>пунктами 3.5</w:t>
        </w:r>
      </w:hyperlink>
      <w:r>
        <w:t xml:space="preserve">, </w:t>
      </w:r>
      <w:hyperlink w:anchor="P78" w:history="1">
        <w:r>
          <w:rPr>
            <w:color w:val="0000FF"/>
          </w:rPr>
          <w:t>3.6</w:t>
        </w:r>
      </w:hyperlink>
      <w:r>
        <w:t xml:space="preserve">, </w:t>
      </w:r>
      <w:hyperlink w:anchor="P79" w:history="1">
        <w:r>
          <w:rPr>
            <w:color w:val="0000FF"/>
          </w:rPr>
          <w:t>3.6.1</w:t>
        </w:r>
      </w:hyperlink>
      <w:r>
        <w:t xml:space="preserve"> - </w:t>
      </w:r>
      <w:hyperlink w:anchor="P100" w:history="1">
        <w:r>
          <w:rPr>
            <w:color w:val="0000FF"/>
          </w:rPr>
          <w:t>3.6.3</w:t>
        </w:r>
      </w:hyperlink>
      <w:r>
        <w:t xml:space="preserve"> настоящего Порядка,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3.8. Комитет проводит предварительное рассмотрение заявки муниципального образования в течение 10 рабочих дней с даты их представления в комитет.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Основаниями для отклонения заявки являются: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67" w:history="1">
        <w:r>
          <w:rPr>
            <w:color w:val="0000FF"/>
          </w:rPr>
          <w:t>пунктах 3.4</w:t>
        </w:r>
      </w:hyperlink>
      <w:r>
        <w:t xml:space="preserve"> - </w:t>
      </w:r>
      <w:hyperlink w:anchor="P78" w:history="1">
        <w:r>
          <w:rPr>
            <w:color w:val="0000FF"/>
          </w:rPr>
          <w:t>3.6</w:t>
        </w:r>
      </w:hyperlink>
      <w:r>
        <w:t xml:space="preserve">, </w:t>
      </w:r>
      <w:hyperlink w:anchor="P79" w:history="1">
        <w:r>
          <w:rPr>
            <w:color w:val="0000FF"/>
          </w:rPr>
          <w:t>3.6.1</w:t>
        </w:r>
      </w:hyperlink>
      <w:r>
        <w:t xml:space="preserve"> - </w:t>
      </w:r>
      <w:hyperlink w:anchor="P100" w:history="1">
        <w:r>
          <w:rPr>
            <w:color w:val="0000FF"/>
          </w:rPr>
          <w:t>3.6.3</w:t>
        </w:r>
      </w:hyperlink>
      <w:r>
        <w:t xml:space="preserve"> настоящего Порядка;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подача заявки с нарушением срока, установленного извещением.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lastRenderedPageBreak/>
        <w:t>3.9.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3.10. Муниципальное образование вправе отозвать заявку, направив в комитет соответствующее письменное уведомление, до даты окончания срока принятия заявок.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Заявка считается отозванной </w:t>
      </w:r>
      <w:proofErr w:type="gramStart"/>
      <w:r>
        <w:t>с даты получения</w:t>
      </w:r>
      <w:proofErr w:type="gramEnd"/>
      <w:r>
        <w:t xml:space="preserve"> комитетом соответствующего письменного уведомления.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В течение 15 рабочих дней со дня, следующего за днем окончания приема заявок, указанным в извещении, комитет осуществляет оценку проектов комплексного развития сельских территорий (сельских агломераций) и объектов, входящих в состав указанных проектов, в соответствии с Методикой формирования рейтингов перспективных проектов комплексного развития сельских территорий (сельских агломераций), утвержденной нормативным актом комитета, формирует и направляет на рассмотрение межведомственной комиссией по обеспечению</w:t>
      </w:r>
      <w:proofErr w:type="gramEnd"/>
      <w:r>
        <w:t xml:space="preserve"> комплексного развития сельских территорий Ленинградской области (далее - межведомственная комиссия), образованной распоряжением Губернатора Ленинградской области от 14 марта 2013 года N 181-рг, результаты оценки и ранжирования проектов комплексного развития сельских территорий (сельских агломераций) и объектов в виде проекта рейтинга.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3.12. Заседание межведомственной комиссии проводится в течение 20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3.13. Межведомственная комиссия принимает следующие решения: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о согласовании представленных проектов комплексного развития сельских территорий (сельских агломераций);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о результатах расчета оценочных баллов;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о позиции проектов комплексного развития сельских территорий (сельских агломераций) и объектов в проекте рейтинга.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3.14. Решение межведомственной комиссии оформляется протоколом в течение двух рабочих дней </w:t>
      </w:r>
      <w:proofErr w:type="gramStart"/>
      <w:r>
        <w:t>с даты проведения</w:t>
      </w:r>
      <w:proofErr w:type="gramEnd"/>
      <w:r>
        <w:t xml:space="preserve"> заседания межведомственной комиссии.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3.15.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</w:t>
      </w:r>
      <w:proofErr w:type="gramStart"/>
      <w:r>
        <w:t>интернет-портале</w:t>
      </w:r>
      <w:proofErr w:type="gramEnd"/>
      <w:r>
        <w:t xml:space="preserve"> в целях уведомления муниципальных образований о результатах отбора.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3.16. Муниципальным образованием может быть направлено возражение на решение межведомственной комиссии (далее - возражение) в течение пяти рабочих дней с даты опубликования рейтинга на </w:t>
      </w:r>
      <w:proofErr w:type="gramStart"/>
      <w:r>
        <w:t>интернет-портале</w:t>
      </w:r>
      <w:proofErr w:type="gramEnd"/>
      <w:r>
        <w:t>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lastRenderedPageBreak/>
        <w:t>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3.17. Комитет направляет утвержденный рейтинг в адрес ГРБС с приложением копий документов, предусмотренных </w:t>
      </w:r>
      <w:hyperlink w:anchor="P75" w:history="1">
        <w:r>
          <w:rPr>
            <w:color w:val="0000FF"/>
          </w:rPr>
          <w:t>пунктами "е"</w:t>
        </w:r>
      </w:hyperlink>
      <w:r>
        <w:t xml:space="preserve">, </w:t>
      </w:r>
      <w:hyperlink w:anchor="P76" w:history="1">
        <w:r>
          <w:rPr>
            <w:color w:val="0000FF"/>
          </w:rPr>
          <w:t>"ж" пункта 3.5</w:t>
        </w:r>
      </w:hyperlink>
      <w:r>
        <w:t xml:space="preserve"> настоящего Порядка, для дальнейшего рассмотрения комиссией.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3.18. Внесение изменений в утвержденный рейтинг осуществляется на основании дополнительного приема заявок от муниципальных образований, проводимого в порядке, предусмотренном </w:t>
      </w:r>
      <w:hyperlink w:anchor="P57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3.19. Комитет направляет согласованные межведомственной комиссией проекты комплексного развития сельских территорий (сельских агломераций) в адрес Министерства сельского хозяйства Российской Федерации для участия в отборе проектов, направленных на комплексное развитие сельских территорий, в сроки и порядке, установленные Министерством сельского хозяйства Российской Федерации.</w:t>
      </w:r>
    </w:p>
    <w:p w:rsidR="00F81150" w:rsidRDefault="00F81150">
      <w:pPr>
        <w:pStyle w:val="ConsPlusNormal"/>
      </w:pPr>
    </w:p>
    <w:p w:rsidR="00F81150" w:rsidRDefault="00F81150">
      <w:pPr>
        <w:pStyle w:val="ConsPlusTitle"/>
        <w:jc w:val="center"/>
        <w:outlineLvl w:val="1"/>
      </w:pPr>
      <w:r>
        <w:t>4. Методика распределения субсидии</w:t>
      </w:r>
    </w:p>
    <w:p w:rsidR="00F81150" w:rsidRDefault="00F81150">
      <w:pPr>
        <w:pStyle w:val="ConsPlusNormal"/>
      </w:pPr>
    </w:p>
    <w:p w:rsidR="00F81150" w:rsidRDefault="00F81150">
      <w:pPr>
        <w:pStyle w:val="ConsPlusNormal"/>
        <w:ind w:firstLine="540"/>
        <w:jc w:val="both"/>
      </w:pPr>
      <w:r>
        <w:t>4.1.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формуле:</w:t>
      </w:r>
    </w:p>
    <w:p w:rsidR="00F81150" w:rsidRDefault="00F81150">
      <w:pPr>
        <w:pStyle w:val="ConsPlusNormal"/>
        <w:ind w:firstLine="540"/>
        <w:jc w:val="both"/>
      </w:pPr>
    </w:p>
    <w:p w:rsidR="00F81150" w:rsidRDefault="00F81150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F81150" w:rsidRDefault="00F81150">
      <w:pPr>
        <w:pStyle w:val="ConsPlusNormal"/>
        <w:jc w:val="center"/>
      </w:pPr>
    </w:p>
    <w:p w:rsidR="00F81150" w:rsidRDefault="00F81150">
      <w:pPr>
        <w:pStyle w:val="ConsPlusNormal"/>
        <w:ind w:firstLine="540"/>
        <w:jc w:val="both"/>
      </w:pPr>
      <w:r>
        <w:t>где: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F81150" w:rsidRDefault="00F81150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F81150" w:rsidRDefault="00F81150">
      <w:pPr>
        <w:pStyle w:val="ConsPlusNormal"/>
        <w:ind w:firstLine="540"/>
        <w:jc w:val="both"/>
      </w:pPr>
    </w:p>
    <w:p w:rsidR="00F81150" w:rsidRDefault="00F81150">
      <w:pPr>
        <w:pStyle w:val="ConsPlusNormal"/>
        <w:ind w:firstLine="540"/>
        <w:jc w:val="both"/>
      </w:pPr>
      <w:proofErr w:type="gramStart"/>
      <w:r>
        <w:t>В случае выделения средств из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"Комплексное развитие сельских территорий", предоставление субсидии бюджетам муниципальных образований осуществляется в пределах бюджетных ассигнований, утвержденных в сводной бюджетной росписи областного бюджета для ГРБС, и доведенных лимитов бюджетных обязательств на текущий финансовый год</w:t>
      </w:r>
      <w:proofErr w:type="gramEnd"/>
      <w:r>
        <w:t xml:space="preserve"> и на плановый период в соответствии с условиями соглашения с Министерством сельского хозяйства Российской Федерации.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 в 2020-2022 годах устанавливается в соответствии с протоколом </w:t>
      </w:r>
      <w:proofErr w:type="gramStart"/>
      <w:r>
        <w:t>заседания комиссии Министерства сельского хозяйства Российской Федерации</w:t>
      </w:r>
      <w:proofErr w:type="gramEnd"/>
      <w:r>
        <w:t xml:space="preserve"> по организации и проведению отбора проектов, а также по оценке эффективности использования субсидий.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4.2. Распределение субсидии утверждается постановлением Правительства Ленинградской области.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4.3. Утвержденный для муниципального образования объем субсидии может быть пересмотрен: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а) при отказе муниципального образования от заключения соглашения;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lastRenderedPageBreak/>
        <w:t>б) при наличии экономии бюджетных сре</w:t>
      </w:r>
      <w:proofErr w:type="gramStart"/>
      <w:r>
        <w:t>дств в р</w:t>
      </w:r>
      <w:proofErr w:type="gramEnd"/>
      <w:r>
        <w:t>езультате проведения конкурсных процедур;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в) при уточнении расчетного объема расходов, необходимого для достижения результата использования субсидии;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г) при распределении нераспределенного объема субсидии.</w:t>
      </w:r>
    </w:p>
    <w:p w:rsidR="00F81150" w:rsidRDefault="00F81150">
      <w:pPr>
        <w:pStyle w:val="ConsPlusNormal"/>
      </w:pPr>
    </w:p>
    <w:p w:rsidR="00F81150" w:rsidRDefault="00F81150">
      <w:pPr>
        <w:pStyle w:val="ConsPlusTitle"/>
        <w:jc w:val="center"/>
        <w:outlineLvl w:val="1"/>
      </w:pPr>
      <w:r>
        <w:t>5. Порядок предоставления и расходования субсидии</w:t>
      </w:r>
    </w:p>
    <w:p w:rsidR="00F81150" w:rsidRDefault="00F81150">
      <w:pPr>
        <w:pStyle w:val="ConsPlusNormal"/>
      </w:pPr>
    </w:p>
    <w:p w:rsidR="00F81150" w:rsidRDefault="00F81150">
      <w:pPr>
        <w:pStyle w:val="ConsPlusNormal"/>
        <w:ind w:firstLine="540"/>
        <w:jc w:val="both"/>
      </w:pPr>
      <w: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7" w:history="1">
        <w:r>
          <w:rPr>
            <w:color w:val="0000FF"/>
          </w:rPr>
          <w:t>пунктом 4.2</w:t>
        </w:r>
      </w:hyperlink>
      <w:r>
        <w:t xml:space="preserve"> Правил.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субсидии.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5.2. Муниципальное образование при заключении соглашения представляет ГРБС документы в соответствии с </w:t>
      </w:r>
      <w:hyperlink r:id="rId18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5.3.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5.4. Муниципальные образования представляют ГРБС документы, подтверждающие потребность в осуществлении расходов в срок не позднее 15 ноября текущего финансового года.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ГРБС не позднее 5-го </w:t>
      </w:r>
      <w:r>
        <w:lastRenderedPageBreak/>
        <w:t xml:space="preserve">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F81150" w:rsidRDefault="00F81150">
      <w:pPr>
        <w:pStyle w:val="ConsPlusNormal"/>
      </w:pPr>
    </w:p>
    <w:p w:rsidR="00F81150" w:rsidRDefault="00F81150">
      <w:pPr>
        <w:pStyle w:val="ConsPlusTitle"/>
        <w:jc w:val="center"/>
        <w:outlineLvl w:val="1"/>
      </w:pPr>
      <w:r>
        <w:t>6. Меры финансовой ответственности, применяемые</w:t>
      </w:r>
    </w:p>
    <w:p w:rsidR="00F81150" w:rsidRDefault="00F81150">
      <w:pPr>
        <w:pStyle w:val="ConsPlusTitle"/>
        <w:jc w:val="center"/>
      </w:pPr>
      <w:r>
        <w:t>к муниципальному образованию при невыполнении</w:t>
      </w:r>
    </w:p>
    <w:p w:rsidR="00F81150" w:rsidRDefault="00F81150">
      <w:pPr>
        <w:pStyle w:val="ConsPlusTitle"/>
        <w:jc w:val="center"/>
      </w:pPr>
      <w:r>
        <w:t>им условий соглашения</w:t>
      </w:r>
    </w:p>
    <w:p w:rsidR="00F81150" w:rsidRDefault="00F81150">
      <w:pPr>
        <w:pStyle w:val="ConsPlusNormal"/>
      </w:pPr>
    </w:p>
    <w:p w:rsidR="00F81150" w:rsidRDefault="00F81150">
      <w:pPr>
        <w:pStyle w:val="ConsPlusNormal"/>
        <w:ind w:firstLine="540"/>
        <w:jc w:val="both"/>
      </w:pPr>
      <w: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F81150" w:rsidRDefault="00F8115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F81150" w:rsidRDefault="00F81150">
      <w:pPr>
        <w:pStyle w:val="ConsPlusNormal"/>
        <w:spacing w:before="220"/>
        <w:ind w:firstLine="540"/>
        <w:jc w:val="both"/>
      </w:pPr>
      <w:r>
        <w:t xml:space="preserve">6.3.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9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F81150" w:rsidRDefault="00F81150">
      <w:pPr>
        <w:pStyle w:val="ConsPlusNormal"/>
      </w:pPr>
    </w:p>
    <w:p w:rsidR="00F81150" w:rsidRDefault="00F81150">
      <w:pPr>
        <w:pStyle w:val="ConsPlusNormal"/>
      </w:pPr>
    </w:p>
    <w:bookmarkEnd w:id="0"/>
    <w:p w:rsidR="00B844C4" w:rsidRDefault="00B844C4"/>
    <w:sectPr w:rsidR="00B844C4" w:rsidSect="00F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0"/>
    <w:rsid w:val="00B844C4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D9F6DCEDB4EB42A75CF45DB2AE5E66FE2C9D06C06335009CD904020EA997D6DAC610E0883A3182448224AC81EFCE6E065C3643HAO9M" TargetMode="External"/><Relationship Id="rId13" Type="http://schemas.openxmlformats.org/officeDocument/2006/relationships/hyperlink" Target="consultantplus://offline/ref=A483D9F6DCEDB4EB42A75CF45DB2AE5E67FB2F9E06CB6335009CD904020EA997D6DAC617EDDE6021860DD52FB087F5D068185CH3O7M" TargetMode="External"/><Relationship Id="rId18" Type="http://schemas.openxmlformats.org/officeDocument/2006/relationships/hyperlink" Target="consultantplus://offline/ref=A483D9F6DCEDB4EB42A743E548B2AE5E67FA269902CB6335009CD904020EA997D6DAC617E68A3466DB0B8378EAD2FCCC6C065E325FAA6068HCO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83D9F6DCEDB4EB42A75CF45DB2AE5E66FE2C9D06C06335009CD904020EA997D6DAC617E68A3067D40B8378EAD2FCCC6C065E325FAA6068HCOAM" TargetMode="External"/><Relationship Id="rId12" Type="http://schemas.openxmlformats.org/officeDocument/2006/relationships/hyperlink" Target="consultantplus://offline/ref=A483D9F6DCEDB4EB42A743E548B2AE5E67FA269901C16335009CD904020EA997D6DAC617E689386CD50B8378EAD2FCCC6C065E325FAA6068HCOAM" TargetMode="External"/><Relationship Id="rId17" Type="http://schemas.openxmlformats.org/officeDocument/2006/relationships/hyperlink" Target="consultantplus://offline/ref=A483D9F6DCEDB4EB42A743E548B2AE5E67FA269902CB6335009CD904020EA997D6DAC617E68A3467D00B8378EAD2FCCC6C065E325FAA6068HCO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83D9F6DCEDB4EB42A743E548B2AE5E67FA2E9D0DCE6335009CD904020EA997D6DAC617E68A3365D30B8378EAD2FCCC6C065E325FAA6068HCO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3D9F6DCEDB4EB42A75CF45DB2AE5E66FE2C9D06C06335009CD904020EA997D6DAC617E68B316CD50B8378EAD2FCCC6C065E325FAA6068HCOAM" TargetMode="External"/><Relationship Id="rId11" Type="http://schemas.openxmlformats.org/officeDocument/2006/relationships/hyperlink" Target="consultantplus://offline/ref=A483D9F6DCEDB4EB42A743E548B2AE5E67FA269901C16335009CD904020EA997D6DAC617E689386CD60B8378EAD2FCCC6C065E325FAA6068HCOAM" TargetMode="External"/><Relationship Id="rId5" Type="http://schemas.openxmlformats.org/officeDocument/2006/relationships/hyperlink" Target="consultantplus://offline/ref=A483D9F6DCEDB4EB42A75CF45DB2AE5E66FE2C9D06C06335009CD904020EA997D6DAC617E68B3361DA0B8378EAD2FCCC6C065E325FAA6068HCOAM" TargetMode="External"/><Relationship Id="rId15" Type="http://schemas.openxmlformats.org/officeDocument/2006/relationships/hyperlink" Target="consultantplus://offline/ref=A483D9F6DCEDB4EB42A743E548B2AE5E67FA2E9D0DCE6335009CD904020EA997D6DAC617E68A3167D10B8378EAD2FCCC6C065E325FAA6068HCOAM" TargetMode="External"/><Relationship Id="rId10" Type="http://schemas.openxmlformats.org/officeDocument/2006/relationships/hyperlink" Target="consultantplus://offline/ref=A483D9F6DCEDB4EB42A75CF45DB2AE5E66FE2C9D06C06335009CD904020EA997D6DAC617E68A3060DB0B8378EAD2FCCC6C065E325FAA6068HCOAM" TargetMode="External"/><Relationship Id="rId19" Type="http://schemas.openxmlformats.org/officeDocument/2006/relationships/hyperlink" Target="consultantplus://offline/ref=A483D9F6DCEDB4EB42A743E548B2AE5E67FA269902CB6335009CD904020EA997D6DAC617E68A3461D40B8378EAD2FCCC6C065E325FAA6068HC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3D9F6DCEDB4EB42A75CF45DB2AE5E66FE2C9D06C06335009CD904020EA997D6DAC617E68B3265DA0B8378EAD2FCCC6C065E325FAA6068HCOAM" TargetMode="External"/><Relationship Id="rId14" Type="http://schemas.openxmlformats.org/officeDocument/2006/relationships/hyperlink" Target="consultantplus://offline/ref=A483D9F6DCEDB4EB42A743E548B2AE5E67FA269902CB6335009CD904020EA997D6DAC617E68A3561DA0B8378EAD2FCCC6C065E325FAA6068HC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2021-04-26T12:14:00Z</dcterms:created>
  <dcterms:modified xsi:type="dcterms:W3CDTF">2021-04-26T12:14:00Z</dcterms:modified>
</cp:coreProperties>
</file>