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1" w:rsidRPr="00D900B1" w:rsidRDefault="00D900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D900B1">
        <w:rPr>
          <w:rFonts w:ascii="Times New Roman" w:hAnsi="Times New Roman" w:cs="Times New Roman"/>
        </w:rPr>
        <w:t>Приложение 13</w:t>
      </w:r>
    </w:p>
    <w:p w:rsidR="00D900B1" w:rsidRPr="00D900B1" w:rsidRDefault="00D900B1">
      <w:pPr>
        <w:pStyle w:val="ConsPlusNormal"/>
        <w:jc w:val="right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 государственной программе...</w:t>
      </w:r>
    </w:p>
    <w:p w:rsidR="00D900B1" w:rsidRPr="00D900B1" w:rsidRDefault="00D900B1">
      <w:pPr>
        <w:pStyle w:val="ConsPlusNormal"/>
        <w:jc w:val="right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ПОРЯДОК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D900B1">
        <w:rPr>
          <w:rFonts w:ascii="Times New Roman" w:hAnsi="Times New Roman" w:cs="Times New Roman"/>
        </w:rPr>
        <w:t>ИЗ</w:t>
      </w:r>
      <w:proofErr w:type="gramEnd"/>
      <w:r w:rsidRPr="00D900B1">
        <w:rPr>
          <w:rFonts w:ascii="Times New Roman" w:hAnsi="Times New Roman" w:cs="Times New Roman"/>
        </w:rPr>
        <w:t xml:space="preserve"> ОБЛАСТНОГО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D900B1">
        <w:rPr>
          <w:rFonts w:ascii="Times New Roman" w:hAnsi="Times New Roman" w:cs="Times New Roman"/>
        </w:rPr>
        <w:t>МУНИЦИПАЛЬНЫХ</w:t>
      </w:r>
      <w:proofErr w:type="gramEnd"/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ОБРАЗОВАНИЙ ЛЕНИНГРАДСКОЙ ОБЛАСТИ НА БЛАГОУСТРОЙСТВО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СЕЛЬСКИХ ТЕРРИТОРИЙ В РАМКАХ РЕАЛИЗАЦИИ МЕРОПРИЯТИЙ,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00B1">
        <w:rPr>
          <w:rFonts w:ascii="Times New Roman" w:hAnsi="Times New Roman" w:cs="Times New Roman"/>
        </w:rPr>
        <w:t>НАПРАВЛЕННЫХ</w:t>
      </w:r>
      <w:proofErr w:type="gramEnd"/>
      <w:r w:rsidRPr="00D900B1">
        <w:rPr>
          <w:rFonts w:ascii="Times New Roman" w:hAnsi="Times New Roman" w:cs="Times New Roman"/>
        </w:rPr>
        <w:t xml:space="preserve"> НА ДОСТИЖЕНИЕ ЦЕЛИ ФЕДЕРАЛЬНОГО ПРОЕКТА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"БЛАГОУСТРОЙСТВО СЕЛЬСКИХ ТЕРРИТОРИЙ"</w:t>
      </w:r>
    </w:p>
    <w:p w:rsidR="00D900B1" w:rsidRPr="00D900B1" w:rsidRDefault="00D900B1">
      <w:pPr>
        <w:pStyle w:val="ConsPlusNormal"/>
        <w:jc w:val="center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1. Общие положения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на благоустройство сельских территорий в рамках реализации мероприятий, направленных на достижение цели федерального проекта "Благоустройство сельских территорий" (далее - субсидия).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1.2. Субсидия предоставляется на </w:t>
      </w:r>
      <w:proofErr w:type="spellStart"/>
      <w:r w:rsidRPr="00D900B1">
        <w:rPr>
          <w:rFonts w:ascii="Times New Roman" w:hAnsi="Times New Roman" w:cs="Times New Roman"/>
        </w:rPr>
        <w:t>софинансирование</w:t>
      </w:r>
      <w:proofErr w:type="spellEnd"/>
      <w:r w:rsidRPr="00D900B1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D900B1">
          <w:rPr>
            <w:rFonts w:ascii="Times New Roman" w:hAnsi="Times New Roman" w:cs="Times New Roman"/>
            <w:color w:val="0000FF"/>
          </w:rPr>
          <w:t>пунктами 9</w:t>
        </w:r>
      </w:hyperlink>
      <w:r w:rsidRPr="00D900B1">
        <w:rPr>
          <w:rFonts w:ascii="Times New Roman" w:hAnsi="Times New Roman" w:cs="Times New Roman"/>
        </w:rPr>
        <w:t xml:space="preserve"> и </w:t>
      </w:r>
      <w:hyperlink r:id="rId6" w:history="1">
        <w:r w:rsidRPr="00D900B1">
          <w:rPr>
            <w:rFonts w:ascii="Times New Roman" w:hAnsi="Times New Roman" w:cs="Times New Roman"/>
            <w:color w:val="0000FF"/>
          </w:rPr>
          <w:t>19 части 1 статьи 14</w:t>
        </w:r>
      </w:hyperlink>
      <w:r w:rsidRPr="00D900B1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D900B1">
        <w:rPr>
          <w:rFonts w:ascii="Times New Roman" w:hAnsi="Times New Roman" w:cs="Times New Roman"/>
        </w:rPr>
        <w:t>рыбохозяйственному</w:t>
      </w:r>
      <w:proofErr w:type="spellEnd"/>
      <w:r w:rsidRPr="00D900B1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1.4. В целях реализации настоящего Порядка используются следующие понятия: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общественно значимый проект по благоустройству сельских территорий - комплекс мероприятий, направленных на благоустройство сельских территорий, реализуемых с участием граждан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 xml:space="preserve">или) юридических лиц (индивидуальных предпринимателей) и осуществляемых для достижения целей по направлениям, указанным в </w:t>
      </w:r>
      <w:hyperlink w:anchor="P25" w:history="1">
        <w:r w:rsidRPr="00D900B1">
          <w:rPr>
            <w:rFonts w:ascii="Times New Roman" w:hAnsi="Times New Roman" w:cs="Times New Roman"/>
            <w:color w:val="0000FF"/>
          </w:rPr>
          <w:t>пункте 2.2</w:t>
        </w:r>
      </w:hyperlink>
      <w:r w:rsidRPr="00D900B1">
        <w:rPr>
          <w:rFonts w:ascii="Times New Roman" w:hAnsi="Times New Roman" w:cs="Times New Roman"/>
        </w:rPr>
        <w:t xml:space="preserve"> настоящего Порядка;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7" w:history="1">
        <w:r w:rsidRPr="00D900B1">
          <w:rPr>
            <w:rFonts w:ascii="Times New Roman" w:hAnsi="Times New Roman" w:cs="Times New Roman"/>
            <w:color w:val="0000FF"/>
          </w:rPr>
          <w:t>перечень</w:t>
        </w:r>
      </w:hyperlink>
      <w:r w:rsidRPr="00D900B1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переходящий проект - общественно значимый проект по благоустройству сельских территорий,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2. Цели и условия предоставления субсидии </w:t>
      </w:r>
      <w:proofErr w:type="gramStart"/>
      <w:r w:rsidRPr="00D900B1">
        <w:rPr>
          <w:rFonts w:ascii="Times New Roman" w:hAnsi="Times New Roman" w:cs="Times New Roman"/>
        </w:rPr>
        <w:t>муниципальным</w:t>
      </w:r>
      <w:proofErr w:type="gramEnd"/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образованиям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2.1. Субсидия предоставляется в целях </w:t>
      </w:r>
      <w:proofErr w:type="gramStart"/>
      <w:r w:rsidRPr="00D900B1">
        <w:rPr>
          <w:rFonts w:ascii="Times New Roman" w:hAnsi="Times New Roman" w:cs="Times New Roman"/>
        </w:rPr>
        <w:t>обеспечения повышения уровня благоустройства сельских территорий</w:t>
      </w:r>
      <w:proofErr w:type="gramEnd"/>
      <w:r w:rsidRPr="00D900B1">
        <w:rPr>
          <w:rFonts w:ascii="Times New Roman" w:hAnsi="Times New Roman" w:cs="Times New Roman"/>
        </w:rPr>
        <w:t>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r w:rsidRPr="00D900B1">
        <w:rPr>
          <w:rFonts w:ascii="Times New Roman" w:hAnsi="Times New Roman" w:cs="Times New Roman"/>
        </w:rPr>
        <w:t>2.2. Субсидия предоставляется по следующим направлениям: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lastRenderedPageBreak/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организация пешеходных коммуникаций, в том числе тротуаров, аллей, велосипедных дорожек, тропинок;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организация ливневых стоков;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обустройство общественных колодцев и водоразборных колонок;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сохранение и восстановление природных ландшафтов и историко-культурных памятников;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создание и обустройство источников наружного противопожарного водоснабжения;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создание и обустройство мест автомобильных и велосипедных парковок;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ремонтно-восстановительные работы улично-дорожной сети и дворовых проездов;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Элементы благоустройства и виды работ, включаемые в общественно значимые проекты по благоустройству сельских территорий, определяются правовым актом комитета.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Один общественно значимый проект по благоустройству сельских территорий может быть реализован по нескольким направлениям.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2.3. Результатом использования субсидии является количество реализованных общественно значимых проектов по благоустройству сельских территорий.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2.4. Субсидия предоставляется при соблюдении условий, установленных </w:t>
      </w:r>
      <w:hyperlink r:id="rId8" w:history="1">
        <w:r w:rsidRPr="00D900B1">
          <w:rPr>
            <w:rFonts w:ascii="Times New Roman" w:hAnsi="Times New Roman" w:cs="Times New Roman"/>
            <w:color w:val="0000FF"/>
          </w:rPr>
          <w:t>пунктом 2.7</w:t>
        </w:r>
      </w:hyperlink>
      <w:r w:rsidRPr="00D900B1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3"/>
      <w:bookmarkEnd w:id="2"/>
      <w:r w:rsidRPr="00D900B1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для предоставления субсидии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Персональный состав комиссии и положение о комиссии утверждаются правовым актом комитета.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lastRenderedPageBreak/>
        <w:t>3.3. Критериями отбора муниципальных образований для допуска к оценке заявок являются: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отнесение территории муниципального образования, на которой планируется к реализации общественно значимый проект по благоустройству сельских территорий, к сельским территориям;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наличие подтвержденного вклада граждан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в различных формах (денежные средства, трудовое участие, предоставление помещений и технических средств и т.д.).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3.4. </w:t>
      </w:r>
      <w:proofErr w:type="gramStart"/>
      <w:r w:rsidRPr="00D900B1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Извещение содержит следующие сведения: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форму заявки;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место и время приема заявки;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срок приема заявки;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перечень документов, прилагаемых к заявке;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информация о планируемом сроке рассмотрения заявок;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контактное лицо для разъяснения вопросов по подготовке и подаче заявки и прилагаемых к ней документов.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D900B1">
        <w:rPr>
          <w:rFonts w:ascii="Times New Roman" w:hAnsi="Times New Roman" w:cs="Times New Roman"/>
        </w:rPr>
        <w:t>интернет-портале</w:t>
      </w:r>
      <w:proofErr w:type="gramEnd"/>
      <w:r w:rsidRPr="00D900B1">
        <w:rPr>
          <w:rFonts w:ascii="Times New Roman" w:hAnsi="Times New Roman" w:cs="Times New Roman"/>
        </w:rPr>
        <w:t>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D900B1">
        <w:rPr>
          <w:rFonts w:ascii="Times New Roman" w:hAnsi="Times New Roman" w:cs="Times New Roman"/>
        </w:rPr>
        <w:t>интернет-портале</w:t>
      </w:r>
      <w:proofErr w:type="gramEnd"/>
      <w:r w:rsidRPr="00D900B1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D900B1">
        <w:rPr>
          <w:rFonts w:ascii="Times New Roman" w:hAnsi="Times New Roman" w:cs="Times New Roman"/>
        </w:rPr>
        <w:t>3.6. Муниципальные образования в срок, установленный в извещении,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00B1">
        <w:rPr>
          <w:rFonts w:ascii="Times New Roman" w:hAnsi="Times New Roman" w:cs="Times New Roman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D900B1">
        <w:rPr>
          <w:rFonts w:ascii="Times New Roman" w:hAnsi="Times New Roman" w:cs="Times New Roman"/>
        </w:rPr>
        <w:t>софинансируемых</w:t>
      </w:r>
      <w:proofErr w:type="spellEnd"/>
      <w:r w:rsidRPr="00D900B1">
        <w:rPr>
          <w:rFonts w:ascii="Times New Roman" w:hAnsi="Times New Roman" w:cs="Times New Roman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списки граждан, подтвердивших участие в реализации общественно значимого проекта по </w:t>
      </w:r>
      <w:r w:rsidRPr="00D900B1">
        <w:rPr>
          <w:rFonts w:ascii="Times New Roman" w:hAnsi="Times New Roman" w:cs="Times New Roman"/>
        </w:rPr>
        <w:lastRenderedPageBreak/>
        <w:t>благоустройству сельских территорий (при условии наличия вклада граждан в реализацию общественно значимого проекта по благоустройству сельских территорий);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гарантийные письма юридических лиц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индивидуальных предпринимателей, подтверждающих их участие в реализации общественно значимого проекта по благоустройству сельских территорий (при условии наличия вклада юридических лиц и(или) индивидуальных предпринимателей в реализацию общественно значимого проекта по благоустройству сельских территорий);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утвержденный дизайн-проект общественного значимого проекта по благоустройству сельской территории, содержащий текстовое и визуальное описание предлагаемого проекта. Текстовая часть </w:t>
      </w:r>
      <w:proofErr w:type="gramStart"/>
      <w:r w:rsidRPr="00D900B1">
        <w:rPr>
          <w:rFonts w:ascii="Times New Roman" w:hAnsi="Times New Roman" w:cs="Times New Roman"/>
        </w:rPr>
        <w:t>дизайн-проекта</w:t>
      </w:r>
      <w:proofErr w:type="gramEnd"/>
      <w:r w:rsidRPr="00D900B1">
        <w:rPr>
          <w:rFonts w:ascii="Times New Roman" w:hAnsi="Times New Roman" w:cs="Times New Roman"/>
        </w:rPr>
        <w:t xml:space="preserve"> должна содержать: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описание проблемы и обоснование ее актуальности для сообщества;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характеристику существующей ситуации, на решение которой направлен проект, включая сведения о текущем состоянии благоустраиваемой территории;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площадь территории и информацию о собственниках и границах земельных участков, формирующих территорию под благоустройство;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обоснование необходимости выполнения данного проекта (актуальность), его общественную значимость;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круг людей, которых касается решаемая проблема; ожидаемые результаты, которых планируется достичь в ходе реализации проекта;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дальнейшее развитие проекта;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Форма заявки утверждается правовым актом комитета.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Копии документов, прилагаемых к заявке, заверяются в установленном порядке.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2"/>
      <w:bookmarkEnd w:id="4"/>
      <w:r w:rsidRPr="00D900B1">
        <w:rPr>
          <w:rFonts w:ascii="Times New Roman" w:hAnsi="Times New Roman" w:cs="Times New Roman"/>
        </w:rPr>
        <w:t xml:space="preserve">3.7. В течение пяти рабочих дней </w:t>
      </w:r>
      <w:proofErr w:type="gramStart"/>
      <w:r w:rsidRPr="00D900B1">
        <w:rPr>
          <w:rFonts w:ascii="Times New Roman" w:hAnsi="Times New Roman" w:cs="Times New Roman"/>
        </w:rPr>
        <w:t>с даты регистрации</w:t>
      </w:r>
      <w:proofErr w:type="gramEnd"/>
      <w:r w:rsidRPr="00D900B1">
        <w:rPr>
          <w:rFonts w:ascii="Times New Roman" w:hAnsi="Times New Roman" w:cs="Times New Roman"/>
        </w:rPr>
        <w:t xml:space="preserve">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оформлению, установленным </w:t>
      </w:r>
      <w:hyperlink w:anchor="P65" w:history="1">
        <w:r w:rsidRPr="00D900B1">
          <w:rPr>
            <w:rFonts w:ascii="Times New Roman" w:hAnsi="Times New Roman" w:cs="Times New Roman"/>
            <w:color w:val="0000FF"/>
          </w:rPr>
          <w:t>пунктом 3.6</w:t>
        </w:r>
      </w:hyperlink>
      <w:r w:rsidRPr="00D900B1">
        <w:rPr>
          <w:rFonts w:ascii="Times New Roman" w:hAnsi="Times New Roman" w:cs="Times New Roman"/>
        </w:rPr>
        <w:t xml:space="preserve"> настоящего Порядка.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3.8. Заявка муниципального образования считается принятой к рассмотрению в случае соответствия требованиям, установленным </w:t>
      </w:r>
      <w:hyperlink w:anchor="P65" w:history="1">
        <w:r w:rsidRPr="00D900B1">
          <w:rPr>
            <w:rFonts w:ascii="Times New Roman" w:hAnsi="Times New Roman" w:cs="Times New Roman"/>
            <w:color w:val="0000FF"/>
          </w:rPr>
          <w:t>пунктом 3.6</w:t>
        </w:r>
      </w:hyperlink>
      <w:r w:rsidRPr="00D900B1">
        <w:rPr>
          <w:rFonts w:ascii="Times New Roman" w:hAnsi="Times New Roman" w:cs="Times New Roman"/>
        </w:rPr>
        <w:t xml:space="preserve"> настоящего Порядка.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3.9. Комитет в срок, установленный в </w:t>
      </w:r>
      <w:hyperlink w:anchor="P82" w:history="1">
        <w:r w:rsidRPr="00D900B1">
          <w:rPr>
            <w:rFonts w:ascii="Times New Roman" w:hAnsi="Times New Roman" w:cs="Times New Roman"/>
            <w:color w:val="0000FF"/>
          </w:rPr>
          <w:t>пункте 3.7</w:t>
        </w:r>
      </w:hyperlink>
      <w:r w:rsidRPr="00D900B1">
        <w:rPr>
          <w:rFonts w:ascii="Times New Roman" w:hAnsi="Times New Roman" w:cs="Times New Roman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В случае несоответствия заявки муниципального образования требованиям, установленным </w:t>
      </w:r>
      <w:hyperlink w:anchor="P65" w:history="1">
        <w:r w:rsidRPr="00D900B1">
          <w:rPr>
            <w:rFonts w:ascii="Times New Roman" w:hAnsi="Times New Roman" w:cs="Times New Roman"/>
            <w:color w:val="0000FF"/>
          </w:rPr>
          <w:t>пунктом 3.6</w:t>
        </w:r>
      </w:hyperlink>
      <w:r w:rsidRPr="00D900B1">
        <w:rPr>
          <w:rFonts w:ascii="Times New Roman" w:hAnsi="Times New Roman" w:cs="Times New Roman"/>
        </w:rPr>
        <w:t xml:space="preserve"> настоящего Порядка, в адрес муниципального образования направляется мотивированный отказ (уведомление) о принятии заявки к рассмотрению.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</w:t>
      </w:r>
      <w:r w:rsidRPr="00D900B1">
        <w:rPr>
          <w:rFonts w:ascii="Times New Roman" w:hAnsi="Times New Roman" w:cs="Times New Roman"/>
        </w:rPr>
        <w:lastRenderedPageBreak/>
        <w:t>приема заявок.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3.11.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D900B1">
        <w:rPr>
          <w:rFonts w:ascii="Times New Roman" w:hAnsi="Times New Roman" w:cs="Times New Roman"/>
        </w:rPr>
        <w:t>с даты получения</w:t>
      </w:r>
      <w:proofErr w:type="gramEnd"/>
      <w:r w:rsidRPr="00D900B1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58"/>
        <w:gridCol w:w="1474"/>
        <w:gridCol w:w="1474"/>
      </w:tblGrid>
      <w:tr w:rsidR="00D900B1" w:rsidRPr="00D900B1">
        <w:tc>
          <w:tcPr>
            <w:tcW w:w="2665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Весовой коэффициент критерия</w:t>
            </w:r>
          </w:p>
        </w:tc>
      </w:tr>
      <w:tr w:rsidR="00D900B1" w:rsidRPr="00D900B1">
        <w:tc>
          <w:tcPr>
            <w:tcW w:w="2665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4</w:t>
            </w:r>
          </w:p>
        </w:tc>
      </w:tr>
      <w:tr w:rsidR="00D900B1" w:rsidRPr="00D900B1">
        <w:tc>
          <w:tcPr>
            <w:tcW w:w="2665" w:type="dxa"/>
            <w:vMerge w:val="restart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Критерий 1. 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Численность населения менее 500 человек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15</w:t>
            </w: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Численность населения от 500 человек, но менее 1000 человек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Численность населения от 1000 человек, но менее 2000 человек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Численность населения от 2000 человек и более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 w:val="restart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Критерий 2. Длительность реализации общественно значимого проекта по благоустройству сельских территорий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Длительность реализации проекта менее одного года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74" w:type="dxa"/>
            <w:vMerge w:val="restart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5</w:t>
            </w: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Длительность реализации проекта от одного года до двух лет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Длительность реализации проекта более двух лет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 w:val="restart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Критерий 3. Доля участия граждан в реализации общественно значимого проекта по благоустройству сельских территорий в общей стоимости проекта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граждан менее 5%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25</w:t>
            </w: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граждан от 5 до 7% включительно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граждан от 7 до 10% включительно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граждан более 10%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 w:val="restart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 xml:space="preserve">Критерий 4. Доля участия юридических лиц (индивидуальных предпринимателей) в реализации общественно значимого проекта по благоустройству сельских </w:t>
            </w:r>
            <w:r w:rsidRPr="00D900B1">
              <w:rPr>
                <w:rFonts w:ascii="Times New Roman" w:hAnsi="Times New Roman" w:cs="Times New Roman"/>
              </w:rPr>
              <w:lastRenderedPageBreak/>
              <w:t>территорий в общей стоимости проекта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lastRenderedPageBreak/>
              <w:t>Доля участия юридических лиц менее 5%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25</w:t>
            </w: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юридических лиц от 5 до 7% включительно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юридических лиц от 7 до 10% включительно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Доля участия юридических лиц более 10%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  <w:vMerge w:val="restart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lastRenderedPageBreak/>
              <w:t>Критерий 5. Реализация общественно значимого проекта по благоустройству в населенном пункте, на территории которого реализуется (реализован) проект комплексного развития сельских территорий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Общественно значимый проект по благоустройству реализуется в населенном пункте, на территории которого реализуется (реализован) проект комплексного развития сельских территорий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74" w:type="dxa"/>
            <w:vMerge w:val="restart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20</w:t>
            </w:r>
          </w:p>
        </w:tc>
      </w:tr>
      <w:tr w:rsidR="00D900B1" w:rsidRPr="00D900B1">
        <w:tc>
          <w:tcPr>
            <w:tcW w:w="2665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Общественно значимый проект по благоустройству реализуется в населенном пункте, на территории которого не реализуется (не реализован) проект комплексного развития сельских территорий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/>
          </w:tcPr>
          <w:p w:rsidR="00D900B1" w:rsidRPr="00D900B1" w:rsidRDefault="00D900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900B1" w:rsidRPr="00D900B1">
        <w:tc>
          <w:tcPr>
            <w:tcW w:w="2665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Критерий 6. Наличие комплексного подхода к включению элементов благоустройства в состав общественно значимого проекта по благоустройству</w:t>
            </w:r>
          </w:p>
        </w:tc>
        <w:tc>
          <w:tcPr>
            <w:tcW w:w="3458" w:type="dxa"/>
          </w:tcPr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Озеленение: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детские площадки (с наличием различных функциональных зон);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спортивные площадки (с наличием различных функциональных зон);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спортивный инвентарь: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тренажер, параллельные брусья, турник, шведская стенка;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 xml:space="preserve">велосипедные дорожки и </w:t>
            </w:r>
            <w:proofErr w:type="spellStart"/>
            <w:r w:rsidRPr="00D900B1">
              <w:rPr>
                <w:rFonts w:ascii="Times New Roman" w:hAnsi="Times New Roman" w:cs="Times New Roman"/>
              </w:rPr>
              <w:t>велопарковки</w:t>
            </w:r>
            <w:proofErr w:type="spellEnd"/>
            <w:r w:rsidRPr="00D900B1">
              <w:rPr>
                <w:rFonts w:ascii="Times New Roman" w:hAnsi="Times New Roman" w:cs="Times New Roman"/>
              </w:rPr>
              <w:t>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площадки для выгула собак;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 xml:space="preserve">инфраструктура для обеспечения доступности для маломобильных групп населения с учетом создания </w:t>
            </w:r>
            <w:proofErr w:type="spellStart"/>
            <w:r w:rsidRPr="00D900B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D900B1">
              <w:rPr>
                <w:rFonts w:ascii="Times New Roman" w:hAnsi="Times New Roman" w:cs="Times New Roman"/>
              </w:rPr>
              <w:t xml:space="preserve"> среды для маломобильных граждан;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инклюзивные спортивно-игровые площадки, предназначенные для совместных игр здоровых детей и детей с ограниченными возможностями здоровья, инклюзивные спортивные площадки, предназначенные для занятий физкультурой и спортом людьми с ограниченными возможностями здоровья;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площадки для отдыха людей старшего возраста;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малые архитектурные формы;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пандусы;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беседки;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террасы;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пешеходные дорожки;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тротуары;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освещение (осветительное оборудование);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скамьи;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урны;</w:t>
            </w:r>
          </w:p>
          <w:p w:rsidR="00D900B1" w:rsidRPr="00D900B1" w:rsidRDefault="00D900B1">
            <w:pPr>
              <w:pStyle w:val="ConsPlusNormal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 xml:space="preserve">мероприятия по организации ливневых стоков, общественных </w:t>
            </w:r>
            <w:r w:rsidRPr="00D900B1">
              <w:rPr>
                <w:rFonts w:ascii="Times New Roman" w:hAnsi="Times New Roman" w:cs="Times New Roman"/>
              </w:rPr>
              <w:lastRenderedPageBreak/>
              <w:t>колодцев, водоразборных колонок, источников наружного противопожарного водоснабжения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lastRenderedPageBreak/>
              <w:t>1 балл за наличие в составе общественно значимого проекта по благоустройству каждого из элементов</w:t>
            </w:r>
          </w:p>
        </w:tc>
        <w:tc>
          <w:tcPr>
            <w:tcW w:w="1474" w:type="dxa"/>
          </w:tcPr>
          <w:p w:rsidR="00D900B1" w:rsidRPr="00D900B1" w:rsidRDefault="00D9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B1">
              <w:rPr>
                <w:rFonts w:ascii="Times New Roman" w:hAnsi="Times New Roman" w:cs="Times New Roman"/>
              </w:rPr>
              <w:t>10</w:t>
            </w:r>
          </w:p>
        </w:tc>
      </w:tr>
    </w:tbl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Значение критерия определяется в соответствии с заявкой муниципального образования.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3.13. Расчет сводной оценки заявки муниципального образования определяется по формуле: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  <w:position w:val="-11"/>
        </w:rPr>
        <w:pict>
          <v:shape id="_x0000_i1025" style="width:99.75pt;height:22.5pt" coordsize="" o:spt="100" adj="0,,0" path="" filled="f" stroked="f">
            <v:stroke joinstyle="miter"/>
            <v:imagedata r:id="rId9" o:title="base_25_256106_32770"/>
            <v:formulas/>
            <v:path o:connecttype="segments"/>
          </v:shape>
        </w:pic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где: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00B1">
        <w:rPr>
          <w:rFonts w:ascii="Times New Roman" w:hAnsi="Times New Roman" w:cs="Times New Roman"/>
        </w:rPr>
        <w:t>СО</w:t>
      </w:r>
      <w:proofErr w:type="gramEnd"/>
      <w:r w:rsidRPr="00D900B1">
        <w:rPr>
          <w:rFonts w:ascii="Times New Roman" w:hAnsi="Times New Roman" w:cs="Times New Roman"/>
        </w:rPr>
        <w:t xml:space="preserve"> - </w:t>
      </w:r>
      <w:proofErr w:type="gramStart"/>
      <w:r w:rsidRPr="00D900B1">
        <w:rPr>
          <w:rFonts w:ascii="Times New Roman" w:hAnsi="Times New Roman" w:cs="Times New Roman"/>
        </w:rPr>
        <w:t>сводная</w:t>
      </w:r>
      <w:proofErr w:type="gramEnd"/>
      <w:r w:rsidRPr="00D900B1">
        <w:rPr>
          <w:rFonts w:ascii="Times New Roman" w:hAnsi="Times New Roman" w:cs="Times New Roman"/>
        </w:rPr>
        <w:t xml:space="preserve"> оценка заявки муниципального образования;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900B1">
        <w:rPr>
          <w:rFonts w:ascii="Times New Roman" w:hAnsi="Times New Roman" w:cs="Times New Roman"/>
        </w:rPr>
        <w:t>К</w:t>
      </w:r>
      <w:proofErr w:type="gramStart"/>
      <w:r w:rsidRPr="00D900B1">
        <w:rPr>
          <w:rFonts w:ascii="Times New Roman" w:hAnsi="Times New Roman" w:cs="Times New Roman"/>
        </w:rPr>
        <w:t>i</w:t>
      </w:r>
      <w:proofErr w:type="spellEnd"/>
      <w:proofErr w:type="gramEnd"/>
      <w:r w:rsidRPr="00D900B1">
        <w:rPr>
          <w:rFonts w:ascii="Times New Roman" w:hAnsi="Times New Roman" w:cs="Times New Roman"/>
        </w:rPr>
        <w:t xml:space="preserve"> - балльная оценка заявки муниципального образования по i-</w:t>
      </w:r>
      <w:proofErr w:type="spellStart"/>
      <w:r w:rsidRPr="00D900B1">
        <w:rPr>
          <w:rFonts w:ascii="Times New Roman" w:hAnsi="Times New Roman" w:cs="Times New Roman"/>
        </w:rPr>
        <w:t>му</w:t>
      </w:r>
      <w:proofErr w:type="spellEnd"/>
      <w:r w:rsidRPr="00D900B1">
        <w:rPr>
          <w:rFonts w:ascii="Times New Roman" w:hAnsi="Times New Roman" w:cs="Times New Roman"/>
        </w:rPr>
        <w:t xml:space="preserve"> критерию;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900B1">
        <w:rPr>
          <w:rFonts w:ascii="Times New Roman" w:hAnsi="Times New Roman" w:cs="Times New Roman"/>
        </w:rPr>
        <w:t>ВК</w:t>
      </w:r>
      <w:proofErr w:type="gramStart"/>
      <w:r w:rsidRPr="00D900B1">
        <w:rPr>
          <w:rFonts w:ascii="Times New Roman" w:hAnsi="Times New Roman" w:cs="Times New Roman"/>
        </w:rPr>
        <w:t>i</w:t>
      </w:r>
      <w:proofErr w:type="spellEnd"/>
      <w:proofErr w:type="gramEnd"/>
      <w:r w:rsidRPr="00D900B1">
        <w:rPr>
          <w:rFonts w:ascii="Times New Roman" w:hAnsi="Times New Roman" w:cs="Times New Roman"/>
        </w:rPr>
        <w:t xml:space="preserve"> - весовой коэффициент для i-</w:t>
      </w:r>
      <w:proofErr w:type="spellStart"/>
      <w:r w:rsidRPr="00D900B1">
        <w:rPr>
          <w:rFonts w:ascii="Times New Roman" w:hAnsi="Times New Roman" w:cs="Times New Roman"/>
        </w:rPr>
        <w:t>го</w:t>
      </w:r>
      <w:proofErr w:type="spellEnd"/>
      <w:r w:rsidRPr="00D900B1">
        <w:rPr>
          <w:rFonts w:ascii="Times New Roman" w:hAnsi="Times New Roman" w:cs="Times New Roman"/>
        </w:rPr>
        <w:t xml:space="preserve"> критерия.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3.14. Комиссия принимает решение о результатах оценки заявок муниципальных образований.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Перечень заявок муниципальных образований по итогам оценки заявок формируется в порядке </w:t>
      </w:r>
      <w:proofErr w:type="gramStart"/>
      <w:r w:rsidRPr="00D900B1">
        <w:rPr>
          <w:rFonts w:ascii="Times New Roman" w:hAnsi="Times New Roman" w:cs="Times New Roman"/>
        </w:rPr>
        <w:t>убывания количества баллов сводной оценки заявки муниципального образования</w:t>
      </w:r>
      <w:proofErr w:type="gramEnd"/>
      <w:r w:rsidRPr="00D900B1">
        <w:rPr>
          <w:rFonts w:ascii="Times New Roman" w:hAnsi="Times New Roman" w:cs="Times New Roman"/>
        </w:rPr>
        <w:t>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При проведении отбора в целях предоставления субсидии в текущем финансовом году 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текущий финансовый год на </w:t>
      </w:r>
      <w:proofErr w:type="spellStart"/>
      <w:r w:rsidRPr="00D900B1">
        <w:rPr>
          <w:rFonts w:ascii="Times New Roman" w:hAnsi="Times New Roman" w:cs="Times New Roman"/>
        </w:rPr>
        <w:t>софинансирование</w:t>
      </w:r>
      <w:proofErr w:type="spellEnd"/>
      <w:r w:rsidRPr="00D900B1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образований, за вычетом распределенного объема субсидии (в том числе предусмотренного на </w:t>
      </w:r>
      <w:proofErr w:type="spellStart"/>
      <w:r w:rsidRPr="00D900B1">
        <w:rPr>
          <w:rFonts w:ascii="Times New Roman" w:hAnsi="Times New Roman" w:cs="Times New Roman"/>
        </w:rPr>
        <w:t>софинансирование</w:t>
      </w:r>
      <w:proofErr w:type="spellEnd"/>
      <w:r w:rsidRPr="00D900B1">
        <w:rPr>
          <w:rFonts w:ascii="Times New Roman" w:hAnsi="Times New Roman" w:cs="Times New Roman"/>
        </w:rPr>
        <w:t xml:space="preserve"> переходящих проектов).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При проведении отбора на очередной финансовый год и плановый период победителями отбора признаются все муниципальные образования, включенные в перечень заявок по итогам оценки заявок.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Получателями субсидии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Количество получателей субсидии определяется исходя из объема субсидии, предусмотренного в областном бюджете Ленинградской области на очередной финансовый год и на плановый период на </w:t>
      </w:r>
      <w:proofErr w:type="spellStart"/>
      <w:r w:rsidRPr="00D900B1">
        <w:rPr>
          <w:rFonts w:ascii="Times New Roman" w:hAnsi="Times New Roman" w:cs="Times New Roman"/>
        </w:rPr>
        <w:t>софинансирование</w:t>
      </w:r>
      <w:proofErr w:type="spellEnd"/>
      <w:r w:rsidRPr="00D900B1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образований, за вычетом объема субсидии, предусмотренного на </w:t>
      </w:r>
      <w:proofErr w:type="spellStart"/>
      <w:r w:rsidRPr="00D900B1">
        <w:rPr>
          <w:rFonts w:ascii="Times New Roman" w:hAnsi="Times New Roman" w:cs="Times New Roman"/>
        </w:rPr>
        <w:t>софинансирование</w:t>
      </w:r>
      <w:proofErr w:type="spellEnd"/>
      <w:r w:rsidRPr="00D900B1">
        <w:rPr>
          <w:rFonts w:ascii="Times New Roman" w:hAnsi="Times New Roman" w:cs="Times New Roman"/>
        </w:rPr>
        <w:t xml:space="preserve"> переходящих проектов.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85"/>
      <w:bookmarkEnd w:id="5"/>
      <w:r w:rsidRPr="00D900B1">
        <w:rPr>
          <w:rFonts w:ascii="Times New Roman" w:hAnsi="Times New Roman" w:cs="Times New Roman"/>
        </w:rPr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D900B1">
        <w:rPr>
          <w:rFonts w:ascii="Times New Roman" w:hAnsi="Times New Roman" w:cs="Times New Roman"/>
        </w:rPr>
        <w:t>с даты проведения</w:t>
      </w:r>
      <w:proofErr w:type="gramEnd"/>
      <w:r w:rsidRPr="00D900B1">
        <w:rPr>
          <w:rFonts w:ascii="Times New Roman" w:hAnsi="Times New Roman" w:cs="Times New Roman"/>
        </w:rPr>
        <w:t xml:space="preserve"> заседания комиссии.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6"/>
      <w:bookmarkEnd w:id="6"/>
      <w:r w:rsidRPr="00D900B1">
        <w:rPr>
          <w:rFonts w:ascii="Times New Roman" w:hAnsi="Times New Roman" w:cs="Times New Roman"/>
        </w:rPr>
        <w:t xml:space="preserve">3.16. Комитет на основании протокола, указанного в </w:t>
      </w:r>
      <w:hyperlink w:anchor="P185" w:history="1">
        <w:r w:rsidRPr="00D900B1">
          <w:rPr>
            <w:rFonts w:ascii="Times New Roman" w:hAnsi="Times New Roman" w:cs="Times New Roman"/>
            <w:color w:val="0000FF"/>
          </w:rPr>
          <w:t>пункте 3.15</w:t>
        </w:r>
      </w:hyperlink>
      <w:r w:rsidRPr="00D900B1">
        <w:rPr>
          <w:rFonts w:ascii="Times New Roman" w:hAnsi="Times New Roman" w:cs="Times New Roman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D900B1">
        <w:rPr>
          <w:rFonts w:ascii="Times New Roman" w:hAnsi="Times New Roman" w:cs="Times New Roman"/>
        </w:rPr>
        <w:t>с даты оформления</w:t>
      </w:r>
      <w:proofErr w:type="gramEnd"/>
      <w:r w:rsidRPr="00D900B1">
        <w:rPr>
          <w:rFonts w:ascii="Times New Roman" w:hAnsi="Times New Roman" w:cs="Times New Roman"/>
        </w:rPr>
        <w:t xml:space="preserve"> протокола посредством принятия соответствующего правового акта комитета.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lastRenderedPageBreak/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D900B1">
        <w:rPr>
          <w:rFonts w:ascii="Times New Roman" w:hAnsi="Times New Roman" w:cs="Times New Roman"/>
        </w:rPr>
        <w:t>интернет-портале</w:t>
      </w:r>
      <w:proofErr w:type="gramEnd"/>
      <w:r w:rsidRPr="00D900B1">
        <w:rPr>
          <w:rFonts w:ascii="Times New Roman" w:hAnsi="Times New Roman" w:cs="Times New Roman"/>
        </w:rPr>
        <w:t xml:space="preserve"> в течение пяти рабочих дней с даты принятия правового акта, указанного в </w:t>
      </w:r>
      <w:hyperlink w:anchor="P186" w:history="1">
        <w:r w:rsidRPr="00D900B1">
          <w:rPr>
            <w:rFonts w:ascii="Times New Roman" w:hAnsi="Times New Roman" w:cs="Times New Roman"/>
            <w:color w:val="0000FF"/>
          </w:rPr>
          <w:t>пункте 3.16</w:t>
        </w:r>
      </w:hyperlink>
      <w:r w:rsidRPr="00D900B1">
        <w:rPr>
          <w:rFonts w:ascii="Times New Roman" w:hAnsi="Times New Roman" w:cs="Times New Roman"/>
        </w:rPr>
        <w:t xml:space="preserve"> настоящего Порядка.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3.18. </w:t>
      </w:r>
      <w:proofErr w:type="gramStart"/>
      <w:r w:rsidRPr="00D900B1">
        <w:rPr>
          <w:rFonts w:ascii="Times New Roman" w:hAnsi="Times New Roman" w:cs="Times New Roman"/>
        </w:rPr>
        <w:t xml:space="preserve">Муниципальное образование, признанное победителем отбора муниципальных образований для предоставления субсидии,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</w:t>
      </w:r>
      <w:proofErr w:type="spellStart"/>
      <w:r w:rsidRPr="00D900B1">
        <w:rPr>
          <w:rFonts w:ascii="Times New Roman" w:hAnsi="Times New Roman" w:cs="Times New Roman"/>
        </w:rPr>
        <w:t>неухудшении</w:t>
      </w:r>
      <w:proofErr w:type="spellEnd"/>
      <w:r w:rsidRPr="00D900B1">
        <w:rPr>
          <w:rFonts w:ascii="Times New Roman" w:hAnsi="Times New Roman" w:cs="Times New Roman"/>
        </w:rPr>
        <w:t xml:space="preserve"> значений критериев оценки заявки муниципального образования.</w:t>
      </w:r>
      <w:proofErr w:type="gramEnd"/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территорий, то затраты на реализацию такого проекта сверх первоначальной его стоимости осуществляются за счет средств местного бюджета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внебюджетных источников.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4. Методика распределения субсидии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по формуле: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900B1">
        <w:rPr>
          <w:rFonts w:ascii="Times New Roman" w:hAnsi="Times New Roman" w:cs="Times New Roman"/>
        </w:rPr>
        <w:t>С</w:t>
      </w:r>
      <w:proofErr w:type="gramStart"/>
      <w:r w:rsidRPr="00D900B1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900B1">
        <w:rPr>
          <w:rFonts w:ascii="Times New Roman" w:hAnsi="Times New Roman" w:cs="Times New Roman"/>
        </w:rPr>
        <w:t xml:space="preserve"> = (</w:t>
      </w:r>
      <w:proofErr w:type="spellStart"/>
      <w:r w:rsidRPr="00D900B1">
        <w:rPr>
          <w:rFonts w:ascii="Times New Roman" w:hAnsi="Times New Roman" w:cs="Times New Roman"/>
        </w:rPr>
        <w:t>ЗС</w:t>
      </w:r>
      <w:r w:rsidRPr="00D900B1">
        <w:rPr>
          <w:rFonts w:ascii="Times New Roman" w:hAnsi="Times New Roman" w:cs="Times New Roman"/>
          <w:vertAlign w:val="subscript"/>
        </w:rPr>
        <w:t>i</w:t>
      </w:r>
      <w:proofErr w:type="spellEnd"/>
      <w:r w:rsidRPr="00D900B1">
        <w:rPr>
          <w:rFonts w:ascii="Times New Roman" w:hAnsi="Times New Roman" w:cs="Times New Roman"/>
        </w:rPr>
        <w:t xml:space="preserve"> - </w:t>
      </w:r>
      <w:proofErr w:type="spellStart"/>
      <w:r w:rsidRPr="00D900B1">
        <w:rPr>
          <w:rFonts w:ascii="Times New Roman" w:hAnsi="Times New Roman" w:cs="Times New Roman"/>
        </w:rPr>
        <w:t>ВГЮЛ</w:t>
      </w:r>
      <w:r w:rsidRPr="00D900B1">
        <w:rPr>
          <w:rFonts w:ascii="Times New Roman" w:hAnsi="Times New Roman" w:cs="Times New Roman"/>
          <w:vertAlign w:val="subscript"/>
        </w:rPr>
        <w:t>i</w:t>
      </w:r>
      <w:proofErr w:type="spellEnd"/>
      <w:r w:rsidRPr="00D900B1">
        <w:rPr>
          <w:rFonts w:ascii="Times New Roman" w:hAnsi="Times New Roman" w:cs="Times New Roman"/>
        </w:rPr>
        <w:t xml:space="preserve">) x </w:t>
      </w:r>
      <w:proofErr w:type="spellStart"/>
      <w:r w:rsidRPr="00D900B1">
        <w:rPr>
          <w:rFonts w:ascii="Times New Roman" w:hAnsi="Times New Roman" w:cs="Times New Roman"/>
        </w:rPr>
        <w:t>УС</w:t>
      </w:r>
      <w:r w:rsidRPr="00D900B1">
        <w:rPr>
          <w:rFonts w:ascii="Times New Roman" w:hAnsi="Times New Roman" w:cs="Times New Roman"/>
          <w:vertAlign w:val="subscript"/>
        </w:rPr>
        <w:t>i</w:t>
      </w:r>
      <w:proofErr w:type="spellEnd"/>
      <w:r w:rsidRPr="00D900B1">
        <w:rPr>
          <w:rFonts w:ascii="Times New Roman" w:hAnsi="Times New Roman" w:cs="Times New Roman"/>
        </w:rPr>
        <w:t>,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где: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900B1">
        <w:rPr>
          <w:rFonts w:ascii="Times New Roman" w:hAnsi="Times New Roman" w:cs="Times New Roman"/>
        </w:rPr>
        <w:t>С</w:t>
      </w:r>
      <w:proofErr w:type="gramStart"/>
      <w:r w:rsidRPr="00D900B1">
        <w:rPr>
          <w:rFonts w:ascii="Times New Roman" w:hAnsi="Times New Roman" w:cs="Times New Roman"/>
        </w:rPr>
        <w:t>i</w:t>
      </w:r>
      <w:proofErr w:type="spellEnd"/>
      <w:proofErr w:type="gramEnd"/>
      <w:r w:rsidRPr="00D900B1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D900B1">
        <w:rPr>
          <w:rFonts w:ascii="Times New Roman" w:hAnsi="Times New Roman" w:cs="Times New Roman"/>
        </w:rPr>
        <w:t>го</w:t>
      </w:r>
      <w:proofErr w:type="spellEnd"/>
      <w:r w:rsidRPr="00D900B1">
        <w:rPr>
          <w:rFonts w:ascii="Times New Roman" w:hAnsi="Times New Roman" w:cs="Times New Roman"/>
        </w:rPr>
        <w:t xml:space="preserve"> муниципального образования;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00B1">
        <w:rPr>
          <w:rFonts w:ascii="Times New Roman" w:hAnsi="Times New Roman" w:cs="Times New Roman"/>
        </w:rPr>
        <w:t>ЗСi</w:t>
      </w:r>
      <w:proofErr w:type="spellEnd"/>
      <w:r w:rsidRPr="00D900B1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D900B1">
        <w:rPr>
          <w:rFonts w:ascii="Times New Roman" w:hAnsi="Times New Roman" w:cs="Times New Roman"/>
        </w:rPr>
        <w:t>софинансируемых</w:t>
      </w:r>
      <w:proofErr w:type="spellEnd"/>
      <w:r w:rsidRPr="00D900B1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D900B1">
        <w:rPr>
          <w:rFonts w:ascii="Times New Roman" w:hAnsi="Times New Roman" w:cs="Times New Roman"/>
        </w:rPr>
        <w:t>го</w:t>
      </w:r>
      <w:proofErr w:type="spellEnd"/>
      <w:r w:rsidRPr="00D900B1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900B1">
        <w:rPr>
          <w:rFonts w:ascii="Times New Roman" w:hAnsi="Times New Roman" w:cs="Times New Roman"/>
        </w:rPr>
        <w:t>ВГЮЛi</w:t>
      </w:r>
      <w:proofErr w:type="spellEnd"/>
      <w:r w:rsidRPr="00D900B1">
        <w:rPr>
          <w:rFonts w:ascii="Times New Roman" w:hAnsi="Times New Roman" w:cs="Times New Roman"/>
        </w:rPr>
        <w:t xml:space="preserve"> - вклад граждан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юридических лиц (индивидуальных предпринимателей);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900B1">
        <w:rPr>
          <w:rFonts w:ascii="Times New Roman" w:hAnsi="Times New Roman" w:cs="Times New Roman"/>
        </w:rPr>
        <w:t>УС</w:t>
      </w:r>
      <w:proofErr w:type="gramStart"/>
      <w:r w:rsidRPr="00D900B1">
        <w:rPr>
          <w:rFonts w:ascii="Times New Roman" w:hAnsi="Times New Roman" w:cs="Times New Roman"/>
        </w:rPr>
        <w:t>i</w:t>
      </w:r>
      <w:proofErr w:type="spellEnd"/>
      <w:proofErr w:type="gramEnd"/>
      <w:r w:rsidRPr="00D900B1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D900B1">
        <w:rPr>
          <w:rFonts w:ascii="Times New Roman" w:hAnsi="Times New Roman" w:cs="Times New Roman"/>
        </w:rPr>
        <w:t>софинансирования</w:t>
      </w:r>
      <w:proofErr w:type="spellEnd"/>
      <w:r w:rsidRPr="00D900B1">
        <w:rPr>
          <w:rFonts w:ascii="Times New Roman" w:hAnsi="Times New Roman" w:cs="Times New Roman"/>
        </w:rPr>
        <w:t xml:space="preserve"> для i-</w:t>
      </w:r>
      <w:proofErr w:type="spellStart"/>
      <w:r w:rsidRPr="00D900B1">
        <w:rPr>
          <w:rFonts w:ascii="Times New Roman" w:hAnsi="Times New Roman" w:cs="Times New Roman"/>
        </w:rPr>
        <w:t>го</w:t>
      </w:r>
      <w:proofErr w:type="spellEnd"/>
      <w:r w:rsidRPr="00D900B1">
        <w:rPr>
          <w:rFonts w:ascii="Times New Roman" w:hAnsi="Times New Roman" w:cs="Times New Roman"/>
        </w:rPr>
        <w:t xml:space="preserve"> муниципального образования.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В общем объеме расходов на исполнение </w:t>
      </w:r>
      <w:proofErr w:type="spellStart"/>
      <w:r w:rsidRPr="00D900B1">
        <w:rPr>
          <w:rFonts w:ascii="Times New Roman" w:hAnsi="Times New Roman" w:cs="Times New Roman"/>
        </w:rPr>
        <w:t>софинансируемых</w:t>
      </w:r>
      <w:proofErr w:type="spellEnd"/>
      <w:r w:rsidRPr="00D900B1">
        <w:rPr>
          <w:rFonts w:ascii="Times New Roman" w:hAnsi="Times New Roman" w:cs="Times New Roman"/>
        </w:rPr>
        <w:t xml:space="preserve"> обязательств предусматривается вклад граждан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Вклад граждан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может быть выражен в различных формах (денежные средства, трудовое участие, предоставление помещений, технических средств).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работ, связанных с реализацией общественно значимого проекта по благоустройству сельских территорий.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D900B1">
        <w:rPr>
          <w:rFonts w:ascii="Times New Roman" w:hAnsi="Times New Roman" w:cs="Times New Roman"/>
        </w:rPr>
        <w:t>софинансирования</w:t>
      </w:r>
      <w:proofErr w:type="spellEnd"/>
      <w:r w:rsidRPr="00D900B1">
        <w:rPr>
          <w:rFonts w:ascii="Times New Roman" w:hAnsi="Times New Roman" w:cs="Times New Roman"/>
        </w:rPr>
        <w:t xml:space="preserve"> для i-</w:t>
      </w:r>
      <w:proofErr w:type="spellStart"/>
      <w:r w:rsidRPr="00D900B1">
        <w:rPr>
          <w:rFonts w:ascii="Times New Roman" w:hAnsi="Times New Roman" w:cs="Times New Roman"/>
        </w:rPr>
        <w:t>го</w:t>
      </w:r>
      <w:proofErr w:type="spellEnd"/>
      <w:r w:rsidRPr="00D900B1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</w:t>
      </w:r>
      <w:hyperlink r:id="rId10" w:history="1">
        <w:r w:rsidRPr="00D900B1">
          <w:rPr>
            <w:rFonts w:ascii="Times New Roman" w:hAnsi="Times New Roman" w:cs="Times New Roman"/>
            <w:color w:val="0000FF"/>
          </w:rPr>
          <w:t>разделом 6</w:t>
        </w:r>
      </w:hyperlink>
      <w:r w:rsidRPr="00D900B1">
        <w:rPr>
          <w:rFonts w:ascii="Times New Roman" w:hAnsi="Times New Roman" w:cs="Times New Roman"/>
        </w:rPr>
        <w:t xml:space="preserve"> Правил.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Объем субсидии бюджету i-</w:t>
      </w:r>
      <w:proofErr w:type="spellStart"/>
      <w:r w:rsidRPr="00D900B1">
        <w:rPr>
          <w:rFonts w:ascii="Times New Roman" w:hAnsi="Times New Roman" w:cs="Times New Roman"/>
        </w:rPr>
        <w:t>го</w:t>
      </w:r>
      <w:proofErr w:type="spellEnd"/>
      <w:r w:rsidRPr="00D900B1">
        <w:rPr>
          <w:rFonts w:ascii="Times New Roman" w:hAnsi="Times New Roman" w:cs="Times New Roman"/>
        </w:rPr>
        <w:t xml:space="preserve"> муниципального образования не может превышать 70 процентов от планового общего объема расходов на реализацию проекта.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1" w:history="1">
        <w:r w:rsidRPr="00D900B1">
          <w:rPr>
            <w:rFonts w:ascii="Times New Roman" w:hAnsi="Times New Roman" w:cs="Times New Roman"/>
            <w:color w:val="0000FF"/>
          </w:rPr>
          <w:t>пунктами 3.2</w:t>
        </w:r>
      </w:hyperlink>
      <w:r w:rsidRPr="00D900B1">
        <w:rPr>
          <w:rFonts w:ascii="Times New Roman" w:hAnsi="Times New Roman" w:cs="Times New Roman"/>
        </w:rPr>
        <w:t xml:space="preserve"> и </w:t>
      </w:r>
      <w:hyperlink r:id="rId12" w:history="1">
        <w:r w:rsidRPr="00D900B1">
          <w:rPr>
            <w:rFonts w:ascii="Times New Roman" w:hAnsi="Times New Roman" w:cs="Times New Roman"/>
            <w:color w:val="0000FF"/>
          </w:rPr>
          <w:t>3.6</w:t>
        </w:r>
      </w:hyperlink>
      <w:r w:rsidRPr="00D900B1">
        <w:rPr>
          <w:rFonts w:ascii="Times New Roman" w:hAnsi="Times New Roman" w:cs="Times New Roman"/>
        </w:rPr>
        <w:t xml:space="preserve"> Правил.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08"/>
      <w:bookmarkEnd w:id="7"/>
      <w:r w:rsidRPr="00D900B1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lastRenderedPageBreak/>
        <w:t>а) при отказе муниципального образования от заключения соглашения;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D900B1">
        <w:rPr>
          <w:rFonts w:ascii="Times New Roman" w:hAnsi="Times New Roman" w:cs="Times New Roman"/>
        </w:rPr>
        <w:t>дств в р</w:t>
      </w:r>
      <w:proofErr w:type="gramEnd"/>
      <w:r w:rsidRPr="00D900B1">
        <w:rPr>
          <w:rFonts w:ascii="Times New Roman" w:hAnsi="Times New Roman" w:cs="Times New Roman"/>
        </w:rPr>
        <w:t>езультате проведения конкурсных процедур;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в) при распределении нераспределенного объема субсидии в текущем финансовом году.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12"/>
      <w:bookmarkEnd w:id="8"/>
      <w:r w:rsidRPr="00D900B1">
        <w:rPr>
          <w:rFonts w:ascii="Times New Roman" w:hAnsi="Times New Roman" w:cs="Times New Roman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D900B1">
        <w:rPr>
          <w:rFonts w:ascii="Times New Roman" w:hAnsi="Times New Roman" w:cs="Times New Roman"/>
        </w:rPr>
        <w:t>и(</w:t>
      </w:r>
      <w:proofErr w:type="gramEnd"/>
      <w:r w:rsidRPr="00D900B1">
        <w:rPr>
          <w:rFonts w:ascii="Times New Roman" w:hAnsi="Times New Roman" w:cs="Times New Roman"/>
        </w:rPr>
        <w:t>или) отказа муниципального образования от предоставления субсидии (части субсидии);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в случае выделения средств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"Комплексное развитие сельских территорий".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Дополнительный отбор муниципальных образований для предоставления субсидии осуществляется в соответствии с </w:t>
      </w:r>
      <w:hyperlink w:anchor="P43" w:history="1">
        <w:r w:rsidRPr="00D900B1">
          <w:rPr>
            <w:rFonts w:ascii="Times New Roman" w:hAnsi="Times New Roman" w:cs="Times New Roman"/>
            <w:color w:val="0000FF"/>
          </w:rPr>
          <w:t>разделом 3</w:t>
        </w:r>
      </w:hyperlink>
      <w:r w:rsidRPr="00D900B1">
        <w:rPr>
          <w:rFonts w:ascii="Times New Roman" w:hAnsi="Times New Roman" w:cs="Times New Roman"/>
        </w:rPr>
        <w:t xml:space="preserve"> настоящего Порядка.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5. Порядок перечисления и расходования субсидии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3" w:history="1">
        <w:r w:rsidRPr="00D900B1">
          <w:rPr>
            <w:rFonts w:ascii="Times New Roman" w:hAnsi="Times New Roman" w:cs="Times New Roman"/>
            <w:color w:val="0000FF"/>
          </w:rPr>
          <w:t>пунктом 4.2</w:t>
        </w:r>
      </w:hyperlink>
      <w:r w:rsidRPr="00D900B1">
        <w:rPr>
          <w:rFonts w:ascii="Times New Roman" w:hAnsi="Times New Roman" w:cs="Times New Roman"/>
        </w:rPr>
        <w:t xml:space="preserve"> Правил, и в сроки, установленные </w:t>
      </w:r>
      <w:hyperlink r:id="rId14" w:history="1">
        <w:r w:rsidRPr="00D900B1">
          <w:rPr>
            <w:rFonts w:ascii="Times New Roman" w:hAnsi="Times New Roman" w:cs="Times New Roman"/>
            <w:color w:val="0000FF"/>
          </w:rPr>
          <w:t>пунктом 4.3</w:t>
        </w:r>
      </w:hyperlink>
      <w:r w:rsidRPr="00D900B1">
        <w:rPr>
          <w:rFonts w:ascii="Times New Roman" w:hAnsi="Times New Roman" w:cs="Times New Roman"/>
        </w:rPr>
        <w:t xml:space="preserve"> Правил.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208" w:history="1">
        <w:r w:rsidRPr="00D900B1">
          <w:rPr>
            <w:rFonts w:ascii="Times New Roman" w:hAnsi="Times New Roman" w:cs="Times New Roman"/>
            <w:color w:val="0000FF"/>
          </w:rPr>
          <w:t>пунктах 4.3</w:t>
        </w:r>
      </w:hyperlink>
      <w:r w:rsidRPr="00D900B1">
        <w:rPr>
          <w:rFonts w:ascii="Times New Roman" w:hAnsi="Times New Roman" w:cs="Times New Roman"/>
        </w:rPr>
        <w:t xml:space="preserve"> и </w:t>
      </w:r>
      <w:hyperlink w:anchor="P212" w:history="1">
        <w:r w:rsidRPr="00D900B1">
          <w:rPr>
            <w:rFonts w:ascii="Times New Roman" w:hAnsi="Times New Roman" w:cs="Times New Roman"/>
            <w:color w:val="0000FF"/>
          </w:rPr>
          <w:t>4.4</w:t>
        </w:r>
      </w:hyperlink>
      <w:r w:rsidRPr="00D900B1">
        <w:rPr>
          <w:rFonts w:ascii="Times New Roman" w:hAnsi="Times New Roman" w:cs="Times New Roman"/>
        </w:rPr>
        <w:t xml:space="preserve"> настоящего Порядка, соглашение (дополнительное соглашение) заключается не позднее 30 рабочих дней </w:t>
      </w:r>
      <w:proofErr w:type="gramStart"/>
      <w:r w:rsidRPr="00D900B1">
        <w:rPr>
          <w:rFonts w:ascii="Times New Roman" w:hAnsi="Times New Roman" w:cs="Times New Roman"/>
        </w:rPr>
        <w:t>с даты внесения</w:t>
      </w:r>
      <w:proofErr w:type="gramEnd"/>
      <w:r w:rsidRPr="00D900B1">
        <w:rPr>
          <w:rFonts w:ascii="Times New Roman" w:hAnsi="Times New Roman" w:cs="Times New Roman"/>
        </w:rPr>
        <w:t xml:space="preserve"> изменений в утвержденное распределение субсидии.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5" w:history="1">
        <w:r w:rsidRPr="00D900B1">
          <w:rPr>
            <w:rFonts w:ascii="Times New Roman" w:hAnsi="Times New Roman" w:cs="Times New Roman"/>
            <w:color w:val="0000FF"/>
          </w:rPr>
          <w:t>пунктом 4.4</w:t>
        </w:r>
      </w:hyperlink>
      <w:r w:rsidRPr="00D900B1">
        <w:rPr>
          <w:rFonts w:ascii="Times New Roman" w:hAnsi="Times New Roman" w:cs="Times New Roman"/>
        </w:rPr>
        <w:t xml:space="preserve"> Правил.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lastRenderedPageBreak/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D900B1">
        <w:rPr>
          <w:rFonts w:ascii="Times New Roman" w:hAnsi="Times New Roman" w:cs="Times New Roman"/>
        </w:rPr>
        <w:t>с даты поступления</w:t>
      </w:r>
      <w:proofErr w:type="gramEnd"/>
      <w:r w:rsidRPr="00D900B1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D900B1" w:rsidRPr="00D900B1" w:rsidRDefault="00D900B1">
      <w:pPr>
        <w:pStyle w:val="ConsPlusTitle"/>
        <w:jc w:val="center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им условий соглашения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00B1">
        <w:rPr>
          <w:rFonts w:ascii="Times New Roman" w:hAnsi="Times New Roman" w:cs="Times New Roman"/>
        </w:rPr>
        <w:t>Контроль за</w:t>
      </w:r>
      <w:proofErr w:type="gramEnd"/>
      <w:r w:rsidRPr="00D900B1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900B1" w:rsidRPr="00D900B1" w:rsidRDefault="00D90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00B1">
        <w:rPr>
          <w:rFonts w:ascii="Times New Roman" w:hAnsi="Times New Roman" w:cs="Times New Roman"/>
        </w:rPr>
        <w:t xml:space="preserve">6.3. В случае </w:t>
      </w:r>
      <w:proofErr w:type="spellStart"/>
      <w:r w:rsidRPr="00D900B1">
        <w:rPr>
          <w:rFonts w:ascii="Times New Roman" w:hAnsi="Times New Roman" w:cs="Times New Roman"/>
        </w:rPr>
        <w:t>недостижения</w:t>
      </w:r>
      <w:proofErr w:type="spellEnd"/>
      <w:r w:rsidRPr="00D900B1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6" w:history="1">
        <w:r w:rsidRPr="00D900B1">
          <w:rPr>
            <w:rFonts w:ascii="Times New Roman" w:hAnsi="Times New Roman" w:cs="Times New Roman"/>
            <w:color w:val="0000FF"/>
          </w:rPr>
          <w:t>разделом 5</w:t>
        </w:r>
      </w:hyperlink>
      <w:r w:rsidRPr="00D900B1">
        <w:rPr>
          <w:rFonts w:ascii="Times New Roman" w:hAnsi="Times New Roman" w:cs="Times New Roman"/>
        </w:rPr>
        <w:t xml:space="preserve"> Правил.</w:t>
      </w:r>
    </w:p>
    <w:p w:rsidR="00D900B1" w:rsidRPr="00D900B1" w:rsidRDefault="00D900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7F4769" w:rsidRPr="00D900B1" w:rsidRDefault="007F4769">
      <w:pPr>
        <w:rPr>
          <w:rFonts w:ascii="Times New Roman" w:hAnsi="Times New Roman" w:cs="Times New Roman"/>
        </w:rPr>
      </w:pPr>
    </w:p>
    <w:sectPr w:rsidR="007F4769" w:rsidRPr="00D900B1" w:rsidSect="009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1"/>
    <w:rsid w:val="007F4769"/>
    <w:rsid w:val="00D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8315CF1305C1E8F4B0AA88A06D8A2D64F546D14AA7A97301CF4B632639EDA220A31132C8D8191C6B2AA9A306BE9706BDD8323E7A46EE0G402F" TargetMode="External"/><Relationship Id="rId13" Type="http://schemas.openxmlformats.org/officeDocument/2006/relationships/hyperlink" Target="consultantplus://offline/ref=8098315CF1305C1E8F4B0AA88A06D8A2D64F546D14AA7A97301CF4B632639EDA220A31132C8D8097CCB2AA9A306BE9706BDD8323E7A46EE0G40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8315CF1305C1E8F4B0AA88A06D8A2D64F536A15AE7A97301CF4B632639EDA220A31132D8C8C97CBB2AA9A306BE9706BDD8323E7A46EE0G402F" TargetMode="External"/><Relationship Id="rId12" Type="http://schemas.openxmlformats.org/officeDocument/2006/relationships/hyperlink" Target="consultantplus://offline/ref=8098315CF1305C1E8F4B0AA88A06D8A2D64F546D14AA7A97301CF4B632639EDA220A31132C8D8396CAB2AA9A306BE9706BDD8323E7A46EE0G40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8315CF1305C1E8F4B0AA88A06D8A2D64F546D14AA7A97301CF4B632639EDA220A31132C8D8091C8B2AA9A306BE9706BDD8323E7A46EE0G40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8315CF1305C1E8F4B15B99F06D8A2D04A506316AA7A97301CF4B632639EDA220A311B258B8EC19EFDABC67538FA716BDD8125FBGA04F" TargetMode="External"/><Relationship Id="rId11" Type="http://schemas.openxmlformats.org/officeDocument/2006/relationships/hyperlink" Target="consultantplus://offline/ref=8098315CF1305C1E8F4B0AA88A06D8A2D64F546D14AA7A97301CF4B632639EDA220A31132C8D8396CBB2AA9A306BE9706BDD8323E7A46EE0G402F" TargetMode="External"/><Relationship Id="rId5" Type="http://schemas.openxmlformats.org/officeDocument/2006/relationships/hyperlink" Target="consultantplus://offline/ref=8098315CF1305C1E8F4B15B99F06D8A2D04A506316AA7A97301CF4B632639EDA220A31132C8D8497CBB2AA9A306BE9706BDD8323E7A46EE0G402F" TargetMode="External"/><Relationship Id="rId15" Type="http://schemas.openxmlformats.org/officeDocument/2006/relationships/hyperlink" Target="consultantplus://offline/ref=8098315CF1305C1E8F4B0AA88A06D8A2D64F546D14AA7A97301CF4B632639EDA220A31132C8D8096C7B2AA9A306BE9706BDD8323E7A46EE0G402F" TargetMode="External"/><Relationship Id="rId10" Type="http://schemas.openxmlformats.org/officeDocument/2006/relationships/hyperlink" Target="consultantplus://offline/ref=8098315CF1305C1E8F4B0AA88A06D8A2D64F546D14AA7A97301CF4B632639EDA220A31132C8D809DC8B2AA9A306BE9706BDD8323E7A46EE0G40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098315CF1305C1E8F4B0AA88A06D8A2D64F546D14AA7A97301CF4B632639EDA220A31132C8D8391CEB2AA9A306BE9706BDD8323E7A46EE0G4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2022-06-16T05:52:00Z</dcterms:created>
  <dcterms:modified xsi:type="dcterms:W3CDTF">2022-06-16T05:52:00Z</dcterms:modified>
</cp:coreProperties>
</file>