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A70B82" w:rsidRPr="00A7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63AB2" w:rsidRP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приоритетных </w:t>
      </w:r>
      <w:proofErr w:type="spellStart"/>
      <w:r w:rsidR="00B63AB2" w:rsidRP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B63AB2" w:rsidRPr="00B6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A70B82" w:rsidRPr="00A70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закладк</w:t>
      </w:r>
      <w:r w:rsid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и(</w:t>
      </w:r>
      <w:proofErr w:type="gramEnd"/>
      <w:r w:rsidR="00B63AB2" w:rsidRPr="00B6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или) уход за многолетними насаждениями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B941D4" w:rsidRPr="00B20094" w:rsidTr="00905993">
        <w:tc>
          <w:tcPr>
            <w:tcW w:w="2835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7655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905993">
        <w:tc>
          <w:tcPr>
            <w:tcW w:w="2835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7655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905993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655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905993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7655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5C43E7" w:rsidRPr="00B20094" w:rsidTr="00905993">
        <w:tc>
          <w:tcPr>
            <w:tcW w:w="2835" w:type="dxa"/>
            <w:vAlign w:val="center"/>
          </w:tcPr>
          <w:p w:rsidR="005C43E7" w:rsidRPr="00B20094" w:rsidRDefault="005C43E7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655" w:type="dxa"/>
            <w:vAlign w:val="center"/>
          </w:tcPr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 09:00   </w:t>
            </w:r>
            <w:r w:rsidR="00161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1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EF687A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 1</w:t>
            </w:r>
            <w:r w:rsidR="00161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 </w:t>
            </w:r>
            <w:r w:rsidR="00913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61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</w:p>
          <w:p w:rsidR="005C43E7" w:rsidRPr="00B92A68" w:rsidRDefault="005C43E7" w:rsidP="00AD1A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3E7" w:rsidRPr="00B20094" w:rsidTr="00905993">
        <w:trPr>
          <w:trHeight w:val="523"/>
        </w:trPr>
        <w:tc>
          <w:tcPr>
            <w:tcW w:w="2835" w:type="dxa"/>
            <w:vAlign w:val="center"/>
          </w:tcPr>
          <w:p w:rsidR="005C43E7" w:rsidRPr="00B20094" w:rsidRDefault="005C43E7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7655" w:type="dxa"/>
            <w:vAlign w:val="center"/>
          </w:tcPr>
          <w:p w:rsidR="005C43E7" w:rsidRPr="00B20094" w:rsidRDefault="005C43E7" w:rsidP="00161A9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17 </w:t>
            </w:r>
            <w:r w:rsidR="00161A93"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2023 года</w:t>
            </w:r>
          </w:p>
        </w:tc>
      </w:tr>
      <w:tr w:rsidR="00B941D4" w:rsidRPr="00B20094" w:rsidTr="00905993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7655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905993">
        <w:trPr>
          <w:trHeight w:val="2193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655" w:type="dxa"/>
            <w:vAlign w:val="center"/>
          </w:tcPr>
          <w:p w:rsidR="00B941D4" w:rsidRPr="00B20094" w:rsidRDefault="00905993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905993">
        <w:trPr>
          <w:trHeight w:val="2395"/>
        </w:trPr>
        <w:tc>
          <w:tcPr>
            <w:tcW w:w="2835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7655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905993">
        <w:tc>
          <w:tcPr>
            <w:tcW w:w="2835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EE0FD8" w:rsidRPr="00EE0FD8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</w:rPr>
              <w:t xml:space="preserve">Планируемым результатом предоставления субсидии является закладка </w:t>
            </w:r>
            <w:proofErr w:type="gramStart"/>
            <w:r w:rsidRPr="00EE0FD8">
              <w:rPr>
                <w:rFonts w:ascii="Times New Roman" w:hAnsi="Times New Roman" w:cs="Times New Roman"/>
              </w:rPr>
              <w:t>и(</w:t>
            </w:r>
            <w:proofErr w:type="gramEnd"/>
            <w:r w:rsidRPr="00EE0FD8">
              <w:rPr>
                <w:rFonts w:ascii="Times New Roman" w:hAnsi="Times New Roman" w:cs="Times New Roman"/>
              </w:rPr>
              <w:t>или) уход за многолетними насаждениями (до вступления в товарное плодоношение) на территории Ленинградской области.</w:t>
            </w:r>
          </w:p>
          <w:p w:rsidR="00EE0FD8" w:rsidRPr="00EE0FD8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</w:rPr>
              <w:t>Показателями, необходимыми для достижения результата предоставления субсидии, являются:</w:t>
            </w:r>
          </w:p>
          <w:p w:rsidR="00EE0FD8" w:rsidRPr="00EE0FD8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  <w:b/>
              </w:rPr>
              <w:t>площадь закладки многолетних насаждений</w:t>
            </w:r>
            <w:r w:rsidRPr="00EE0FD8">
              <w:rPr>
                <w:rFonts w:ascii="Times New Roman" w:hAnsi="Times New Roman" w:cs="Times New Roman"/>
              </w:rPr>
              <w:t xml:space="preserve"> (гектаров);</w:t>
            </w:r>
          </w:p>
          <w:p w:rsidR="00B941D4" w:rsidRPr="00504909" w:rsidRDefault="00EE0FD8" w:rsidP="00EE0FD8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EE0FD8"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r w:rsidRPr="00EE0FD8">
              <w:rPr>
                <w:rFonts w:ascii="Times New Roman" w:hAnsi="Times New Roman" w:cs="Times New Roman"/>
                <w:b/>
              </w:rPr>
              <w:t>уходных</w:t>
            </w:r>
            <w:proofErr w:type="spellEnd"/>
            <w:r w:rsidRPr="00EE0FD8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EE0FD8">
              <w:rPr>
                <w:rFonts w:ascii="Times New Roman" w:hAnsi="Times New Roman" w:cs="Times New Roman"/>
              </w:rPr>
              <w:t xml:space="preserve"> за многолетними насаждениями (до вступления в товарное плодоношение, но не более 3 лет с момента закладки для садов интенсивного типа) (гектаров).</w:t>
            </w:r>
          </w:p>
        </w:tc>
      </w:tr>
      <w:tr w:rsidR="00B941D4" w:rsidRPr="00B20094" w:rsidTr="00905993">
        <w:tc>
          <w:tcPr>
            <w:tcW w:w="2835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7655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905993">
        <w:trPr>
          <w:trHeight w:val="3109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7655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905993">
        <w:trPr>
          <w:trHeight w:val="841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7655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копия проекта на закладку многолетних насаждений;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акт выполненных работ по закладке и уходу за многолетними насаждениями по форме, утвержденной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реестр земельных участков под многолетними насаждениями с указанием их кадастровых номеров, площадей и прав на земельный участок (собственность, договор аренды и т.д.) по форме, установленной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приказом комитета;</w:t>
            </w:r>
          </w:p>
          <w:p w:rsidR="00227DB2" w:rsidRPr="00227DB2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 xml:space="preserve">копии документов, подтверждающих расходы на закладку </w:t>
            </w:r>
            <w:proofErr w:type="gramStart"/>
            <w:r w:rsidRPr="00227DB2">
              <w:rPr>
                <w:rFonts w:ascii="Times New Roman" w:hAnsi="Times New Roman" w:cs="Times New Roman"/>
              </w:rPr>
              <w:t>и(</w:t>
            </w:r>
            <w:proofErr w:type="gramEnd"/>
            <w:r w:rsidRPr="00227DB2">
              <w:rPr>
                <w:rFonts w:ascii="Times New Roman" w:hAnsi="Times New Roman" w:cs="Times New Roman"/>
              </w:rPr>
              <w:t>или) уход за многолетними насаждениями (копии договоров, счетов-фактур и накладных или универсальных передаточных документов, платежных документов, актов использования удобрений, средств защиты растений и других документов) за отчетный период;</w:t>
            </w:r>
          </w:p>
          <w:p w:rsidR="00BA591E" w:rsidRDefault="00227DB2" w:rsidP="00227DB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27DB2">
              <w:rPr>
                <w:rFonts w:ascii="Times New Roman" w:hAnsi="Times New Roman" w:cs="Times New Roman"/>
              </w:rPr>
              <w:t>калькуляция себестоимости производства посадочного материала и калькуляция себестоимости выполненных работ при выращивании посадочного материала и выполнении работ хозяйственным способом.</w:t>
            </w:r>
          </w:p>
          <w:p w:rsidR="001967C6" w:rsidRDefault="00C1686E" w:rsidP="00BA59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F3F14" w:rsidRDefault="004F3F14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905993">
        <w:trPr>
          <w:cantSplit/>
        </w:trPr>
        <w:tc>
          <w:tcPr>
            <w:tcW w:w="2835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7655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905993">
        <w:trPr>
          <w:trHeight w:val="4181"/>
        </w:trPr>
        <w:tc>
          <w:tcPr>
            <w:tcW w:w="2835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7655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</w:t>
            </w:r>
            <w:bookmarkStart w:id="0" w:name="_GoBack"/>
            <w:bookmarkEnd w:id="0"/>
            <w:r w:rsidRPr="00E77F6D">
              <w:rPr>
                <w:rFonts w:ascii="Times New Roman" w:hAnsi="Times New Roman" w:cs="Times New Roman"/>
                <w:color w:val="000000" w:themeColor="text1"/>
              </w:rPr>
              <w:t>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905993">
        <w:trPr>
          <w:trHeight w:val="2600"/>
        </w:trPr>
        <w:tc>
          <w:tcPr>
            <w:tcW w:w="2835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7655" w:type="dxa"/>
            <w:vAlign w:val="center"/>
          </w:tcPr>
          <w:p w:rsidR="00905993" w:rsidRPr="00905993" w:rsidRDefault="00905993" w:rsidP="00905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993">
              <w:rPr>
                <w:rFonts w:ascii="Times New Roman" w:hAnsi="Times New Roman" w:cs="Times New Roman"/>
                <w:color w:val="000000" w:themeColor="text1"/>
              </w:rPr>
              <w:t>- Несоответствие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905993" w:rsidRPr="00905993" w:rsidRDefault="00905993" w:rsidP="00905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993">
              <w:rPr>
                <w:rFonts w:ascii="Times New Roman" w:hAnsi="Times New Roman" w:cs="Times New Roman"/>
                <w:color w:val="000000" w:themeColor="text1"/>
              </w:rPr>
              <w:t>- Несоответствие участника отбора условиям, установленным в приложениях к настоящему Порядку;</w:t>
            </w:r>
          </w:p>
          <w:p w:rsidR="00905993" w:rsidRPr="00905993" w:rsidRDefault="00905993" w:rsidP="00905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993">
              <w:rPr>
                <w:rFonts w:ascii="Times New Roman" w:hAnsi="Times New Roman" w:cs="Times New Roman"/>
                <w:color w:val="000000" w:themeColor="text1"/>
              </w:rPr>
              <w:t>- Установление факта недостоверности представленной получателем субсидии информации, содержащейся в документах;</w:t>
            </w:r>
          </w:p>
          <w:p w:rsidR="00905993" w:rsidRPr="00905993" w:rsidRDefault="00905993" w:rsidP="00905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993">
              <w:rPr>
                <w:rFonts w:ascii="Times New Roman" w:hAnsi="Times New Roman" w:cs="Times New Roman"/>
                <w:color w:val="000000" w:themeColor="text1"/>
              </w:rPr>
              <w:t>- Отсутствие бюджетных ассигнований по направлениям субсидирования, указанным в пункте 1.3 настоящего Порядка, на дату окончания срока проведения отбора;</w:t>
            </w:r>
          </w:p>
          <w:p w:rsidR="00FF31AF" w:rsidRPr="00B20094" w:rsidRDefault="00905993" w:rsidP="00905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5993">
              <w:rPr>
                <w:rFonts w:ascii="Times New Roman" w:hAnsi="Times New Roman" w:cs="Times New Roman"/>
                <w:color w:val="000000" w:themeColor="text1"/>
              </w:rPr>
              <w:t>- представление в комитет документов для выплаты субсидии после срока, установленного приложениями к настоящему Порядку (если иное не установлено приложениями к настоящему Порядку).</w:t>
            </w:r>
          </w:p>
        </w:tc>
      </w:tr>
      <w:tr w:rsidR="00B941D4" w:rsidRPr="00B20094" w:rsidTr="00905993">
        <w:tc>
          <w:tcPr>
            <w:tcW w:w="2835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7655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905993">
        <w:trPr>
          <w:trHeight w:val="419"/>
        </w:trPr>
        <w:tc>
          <w:tcPr>
            <w:tcW w:w="2835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655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905993" w:rsidP="00DF4FBF"/>
    <w:sectPr w:rsidR="007041DB" w:rsidSect="00E84BB8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094501"/>
    <w:rsid w:val="0011561A"/>
    <w:rsid w:val="00161A93"/>
    <w:rsid w:val="00195828"/>
    <w:rsid w:val="001967C6"/>
    <w:rsid w:val="001D7777"/>
    <w:rsid w:val="00210C69"/>
    <w:rsid w:val="00227DB2"/>
    <w:rsid w:val="002A47A8"/>
    <w:rsid w:val="002C4B42"/>
    <w:rsid w:val="002D1E8E"/>
    <w:rsid w:val="002D45DA"/>
    <w:rsid w:val="002E4486"/>
    <w:rsid w:val="003B695F"/>
    <w:rsid w:val="004A642F"/>
    <w:rsid w:val="004F3F14"/>
    <w:rsid w:val="00504909"/>
    <w:rsid w:val="00555CCF"/>
    <w:rsid w:val="00591658"/>
    <w:rsid w:val="005C43E7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05993"/>
    <w:rsid w:val="009139DD"/>
    <w:rsid w:val="009A2E8A"/>
    <w:rsid w:val="009C4CE1"/>
    <w:rsid w:val="00A70B82"/>
    <w:rsid w:val="00AF138C"/>
    <w:rsid w:val="00B553DF"/>
    <w:rsid w:val="00B63AB2"/>
    <w:rsid w:val="00B718FE"/>
    <w:rsid w:val="00B91DF3"/>
    <w:rsid w:val="00B92A68"/>
    <w:rsid w:val="00B941D4"/>
    <w:rsid w:val="00BA591E"/>
    <w:rsid w:val="00BC182B"/>
    <w:rsid w:val="00C03823"/>
    <w:rsid w:val="00C1686E"/>
    <w:rsid w:val="00C36358"/>
    <w:rsid w:val="00C55599"/>
    <w:rsid w:val="00C621B5"/>
    <w:rsid w:val="00C63799"/>
    <w:rsid w:val="00C947A0"/>
    <w:rsid w:val="00CF2576"/>
    <w:rsid w:val="00D125A4"/>
    <w:rsid w:val="00D52672"/>
    <w:rsid w:val="00D739D4"/>
    <w:rsid w:val="00DF4FBF"/>
    <w:rsid w:val="00E46489"/>
    <w:rsid w:val="00E7209E"/>
    <w:rsid w:val="00E77F6D"/>
    <w:rsid w:val="00E84BB8"/>
    <w:rsid w:val="00EA34AC"/>
    <w:rsid w:val="00EE0FD8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2023-03-22T12:44:00Z</cp:lastPrinted>
  <dcterms:created xsi:type="dcterms:W3CDTF">2023-10-13T09:22:00Z</dcterms:created>
  <dcterms:modified xsi:type="dcterms:W3CDTF">2023-10-13T09:25:00Z</dcterms:modified>
</cp:coreProperties>
</file>